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669EC" w14:textId="77777777" w:rsidR="00D62F37" w:rsidRDefault="00114804">
      <w:pPr>
        <w:pBdr>
          <w:top w:val="nil"/>
          <w:left w:val="nil"/>
          <w:bottom w:val="nil"/>
          <w:right w:val="nil"/>
          <w:between w:val="nil"/>
        </w:pBdr>
        <w:tabs>
          <w:tab w:val="left" w:pos="555"/>
          <w:tab w:val="left" w:pos="840"/>
          <w:tab w:val="left" w:pos="1140"/>
          <w:tab w:val="left" w:pos="1395"/>
          <w:tab w:val="left" w:pos="1650"/>
          <w:tab w:val="left" w:pos="1965"/>
          <w:tab w:val="left" w:pos="2220"/>
          <w:tab w:val="left" w:pos="7336"/>
        </w:tabs>
        <w:jc w:val="center"/>
        <w:rPr>
          <w:rFonts w:ascii="Arial" w:eastAsia="Arial" w:hAnsi="Arial" w:cs="Arial"/>
          <w:b/>
          <w:color w:val="000000"/>
        </w:rPr>
      </w:pPr>
      <w:bookmarkStart w:id="0" w:name="_heading=h.gjdgxs" w:colFirst="0" w:colLast="0"/>
      <w:bookmarkEnd w:id="0"/>
      <w:r>
        <w:rPr>
          <w:rFonts w:ascii="Arial" w:eastAsia="Arial" w:hAnsi="Arial" w:cs="Arial"/>
          <w:b/>
          <w:color w:val="000000"/>
        </w:rPr>
        <w:t>TERMO DE REFERÊNCIA SERVIÇOS DE TIC – LEI 14.133/2021</w:t>
      </w:r>
    </w:p>
    <w:p w14:paraId="074A2A60" w14:textId="77777777" w:rsidR="00D62F37" w:rsidRDefault="00D62F37">
      <w:pPr>
        <w:pBdr>
          <w:top w:val="nil"/>
          <w:left w:val="nil"/>
          <w:bottom w:val="nil"/>
          <w:right w:val="nil"/>
          <w:between w:val="nil"/>
        </w:pBdr>
        <w:tabs>
          <w:tab w:val="left" w:pos="555"/>
          <w:tab w:val="left" w:pos="840"/>
          <w:tab w:val="left" w:pos="1140"/>
          <w:tab w:val="left" w:pos="1395"/>
          <w:tab w:val="left" w:pos="1650"/>
          <w:tab w:val="left" w:pos="1965"/>
          <w:tab w:val="left" w:pos="2220"/>
          <w:tab w:val="left" w:pos="7336"/>
        </w:tabs>
        <w:jc w:val="center"/>
        <w:rPr>
          <w:rFonts w:ascii="Arial" w:eastAsia="Arial" w:hAnsi="Arial" w:cs="Arial"/>
          <w:color w:val="000000"/>
        </w:rPr>
      </w:pPr>
    </w:p>
    <w:p w14:paraId="43485BB9" w14:textId="77777777" w:rsidR="00D62F37" w:rsidRDefault="00114804">
      <w:pPr>
        <w:pBdr>
          <w:top w:val="nil"/>
          <w:left w:val="nil"/>
          <w:bottom w:val="nil"/>
          <w:right w:val="nil"/>
          <w:between w:val="nil"/>
        </w:pBdr>
        <w:tabs>
          <w:tab w:val="left" w:pos="555"/>
          <w:tab w:val="left" w:pos="840"/>
          <w:tab w:val="left" w:pos="1140"/>
          <w:tab w:val="left" w:pos="1395"/>
          <w:tab w:val="left" w:pos="1650"/>
          <w:tab w:val="left" w:pos="1965"/>
          <w:tab w:val="left" w:pos="2220"/>
          <w:tab w:val="left" w:pos="7336"/>
        </w:tabs>
        <w:jc w:val="center"/>
        <w:rPr>
          <w:rFonts w:ascii="Arial" w:eastAsia="Arial" w:hAnsi="Arial" w:cs="Arial"/>
          <w:highlight w:val="white"/>
        </w:rPr>
      </w:pPr>
      <w:r>
        <w:rPr>
          <w:rFonts w:ascii="Arial" w:eastAsia="Arial" w:hAnsi="Arial" w:cs="Arial"/>
        </w:rPr>
        <w:t>Processo Administrativo n</w:t>
      </w:r>
      <w:r>
        <w:rPr>
          <w:rFonts w:ascii="Arial" w:eastAsia="Arial" w:hAnsi="Arial" w:cs="Arial"/>
          <w:sz w:val="28"/>
          <w:szCs w:val="28"/>
        </w:rPr>
        <w:t xml:space="preserve">° </w:t>
      </w:r>
      <w:r>
        <w:rPr>
          <w:rFonts w:ascii="Arial" w:eastAsia="Arial" w:hAnsi="Arial" w:cs="Arial"/>
          <w:highlight w:val="white"/>
        </w:rPr>
        <w:t>23366.000317/2024-88</w:t>
      </w:r>
    </w:p>
    <w:p w14:paraId="49F3A08C" w14:textId="77777777" w:rsidR="00D62F37" w:rsidRDefault="00114804">
      <w:pPr>
        <w:pBdr>
          <w:top w:val="nil"/>
          <w:left w:val="nil"/>
          <w:bottom w:val="nil"/>
          <w:right w:val="nil"/>
          <w:between w:val="nil"/>
        </w:pBdr>
        <w:tabs>
          <w:tab w:val="left" w:pos="555"/>
          <w:tab w:val="left" w:pos="840"/>
          <w:tab w:val="left" w:pos="1140"/>
          <w:tab w:val="left" w:pos="1395"/>
          <w:tab w:val="left" w:pos="1650"/>
          <w:tab w:val="left" w:pos="1965"/>
          <w:tab w:val="left" w:pos="2220"/>
          <w:tab w:val="left" w:pos="7336"/>
        </w:tabs>
        <w:jc w:val="center"/>
        <w:rPr>
          <w:rFonts w:ascii="Arial" w:eastAsia="Arial" w:hAnsi="Arial" w:cs="Arial"/>
          <w:highlight w:val="white"/>
        </w:rPr>
      </w:pPr>
      <w:r>
        <w:rPr>
          <w:rFonts w:ascii="Arial" w:eastAsia="Arial" w:hAnsi="Arial" w:cs="Arial"/>
          <w:highlight w:val="white"/>
        </w:rPr>
        <w:t>Pregão Eletrônico nº 90021/2024 - UASG 158141</w:t>
      </w:r>
    </w:p>
    <w:p w14:paraId="2262FA9F" w14:textId="77777777" w:rsidR="00D62F37" w:rsidRDefault="00D62F37">
      <w:pPr>
        <w:pBdr>
          <w:top w:val="nil"/>
          <w:left w:val="nil"/>
          <w:bottom w:val="nil"/>
          <w:right w:val="nil"/>
          <w:between w:val="nil"/>
        </w:pBdr>
        <w:tabs>
          <w:tab w:val="left" w:pos="555"/>
          <w:tab w:val="left" w:pos="840"/>
          <w:tab w:val="left" w:pos="1140"/>
          <w:tab w:val="left" w:pos="1395"/>
          <w:tab w:val="left" w:pos="1650"/>
          <w:tab w:val="left" w:pos="1965"/>
          <w:tab w:val="left" w:pos="2220"/>
          <w:tab w:val="left" w:pos="7336"/>
        </w:tabs>
        <w:jc w:val="center"/>
        <w:rPr>
          <w:rFonts w:ascii="Arial" w:eastAsia="Arial" w:hAnsi="Arial" w:cs="Arial"/>
          <w:b/>
          <w:color w:val="000000"/>
        </w:rPr>
      </w:pPr>
    </w:p>
    <w:p w14:paraId="4A355E7B" w14:textId="77777777" w:rsidR="00D62F37" w:rsidRDefault="00D62F37">
      <w:pPr>
        <w:pBdr>
          <w:top w:val="nil"/>
          <w:left w:val="nil"/>
          <w:bottom w:val="nil"/>
          <w:right w:val="nil"/>
          <w:between w:val="nil"/>
        </w:pBdr>
        <w:tabs>
          <w:tab w:val="left" w:pos="555"/>
          <w:tab w:val="left" w:pos="840"/>
          <w:tab w:val="left" w:pos="1140"/>
          <w:tab w:val="left" w:pos="1395"/>
          <w:tab w:val="left" w:pos="1650"/>
          <w:tab w:val="left" w:pos="1965"/>
          <w:tab w:val="left" w:pos="2220"/>
          <w:tab w:val="left" w:pos="7336"/>
        </w:tabs>
        <w:spacing w:after="200"/>
        <w:jc w:val="center"/>
        <w:rPr>
          <w:rFonts w:ascii="Arial" w:eastAsia="Arial" w:hAnsi="Arial" w:cs="Arial"/>
          <w:color w:val="000000"/>
        </w:rPr>
      </w:pPr>
    </w:p>
    <w:p w14:paraId="7C7681C7" w14:textId="77777777" w:rsidR="00D62F37" w:rsidRDefault="00114804">
      <w:pPr>
        <w:keepNext/>
        <w:keepLines/>
        <w:numPr>
          <w:ilvl w:val="0"/>
          <w:numId w:val="1"/>
        </w:numPr>
        <w:pBdr>
          <w:top w:val="nil"/>
          <w:left w:val="nil"/>
          <w:bottom w:val="nil"/>
          <w:right w:val="nil"/>
          <w:between w:val="nil"/>
        </w:pBdr>
        <w:tabs>
          <w:tab w:val="left" w:pos="-709"/>
        </w:tabs>
        <w:spacing w:before="240" w:after="120" w:line="276" w:lineRule="auto"/>
        <w:jc w:val="both"/>
      </w:pPr>
      <w:r>
        <w:rPr>
          <w:rFonts w:ascii="Arial" w:eastAsia="Arial" w:hAnsi="Arial" w:cs="Arial"/>
          <w:b/>
          <w:color w:val="000000"/>
          <w:sz w:val="20"/>
          <w:szCs w:val="20"/>
        </w:rPr>
        <w:t>CONDIÇÕES GERAIS DA CONTRATAÇÃO</w:t>
      </w:r>
    </w:p>
    <w:p w14:paraId="695D9B1D"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C</w:t>
      </w:r>
      <w:r>
        <w:rPr>
          <w:rFonts w:ascii="Arial" w:eastAsia="Arial" w:hAnsi="Arial" w:cs="Arial"/>
          <w:sz w:val="20"/>
          <w:szCs w:val="20"/>
        </w:rPr>
        <w:t xml:space="preserve">ontratação de </w:t>
      </w:r>
      <w:r>
        <w:rPr>
          <w:rFonts w:ascii="Arial" w:eastAsia="Arial" w:hAnsi="Arial" w:cs="Arial"/>
          <w:sz w:val="20"/>
          <w:szCs w:val="20"/>
        </w:rPr>
        <w:t>solução de tecnologia da informação e comunicação de empresa especializada para prestação de serviço mensal de internet ao IFRS - Campus Ibirubá</w:t>
      </w:r>
      <w:r>
        <w:rPr>
          <w:rFonts w:ascii="Arial" w:eastAsia="Arial" w:hAnsi="Arial" w:cs="Arial"/>
          <w:sz w:val="20"/>
          <w:szCs w:val="20"/>
        </w:rPr>
        <w:t>, nos termos da tabela abaixo, conforme condições e exigências estabelecidas neste in</w:t>
      </w:r>
      <w:r>
        <w:rPr>
          <w:rFonts w:ascii="Arial" w:eastAsia="Arial" w:hAnsi="Arial" w:cs="Arial"/>
          <w:color w:val="000000"/>
          <w:sz w:val="20"/>
          <w:szCs w:val="20"/>
        </w:rPr>
        <w:t>strumento.</w:t>
      </w:r>
    </w:p>
    <w:tbl>
      <w:tblPr>
        <w:tblStyle w:val="a"/>
        <w:tblW w:w="9615" w:type="dxa"/>
        <w:tblInd w:w="0" w:type="dxa"/>
        <w:tblLayout w:type="fixed"/>
        <w:tblLook w:val="0000" w:firstRow="0" w:lastRow="0" w:firstColumn="0" w:lastColumn="0" w:noHBand="0" w:noVBand="0"/>
      </w:tblPr>
      <w:tblGrid>
        <w:gridCol w:w="660"/>
        <w:gridCol w:w="2940"/>
        <w:gridCol w:w="1035"/>
        <w:gridCol w:w="1305"/>
        <w:gridCol w:w="855"/>
        <w:gridCol w:w="1335"/>
        <w:gridCol w:w="1485"/>
      </w:tblGrid>
      <w:tr w:rsidR="00D62F37" w14:paraId="112CA695" w14:textId="77777777">
        <w:tc>
          <w:tcPr>
            <w:tcW w:w="6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14900F" w14:textId="77777777" w:rsidR="00D62F37" w:rsidRDefault="00114804">
            <w:pPr>
              <w:pBdr>
                <w:top w:val="nil"/>
                <w:left w:val="nil"/>
                <w:bottom w:val="nil"/>
                <w:right w:val="nil"/>
                <w:between w:val="nil"/>
              </w:pBdr>
              <w:tabs>
                <w:tab w:val="left" w:pos="555"/>
                <w:tab w:val="left" w:pos="840"/>
                <w:tab w:val="left" w:pos="1140"/>
                <w:tab w:val="left" w:pos="1395"/>
                <w:tab w:val="left" w:pos="1650"/>
                <w:tab w:val="left" w:pos="1965"/>
                <w:tab w:val="left" w:pos="2220"/>
                <w:tab w:val="left" w:pos="7336"/>
              </w:tabs>
              <w:spacing w:before="57" w:after="57"/>
              <w:jc w:val="center"/>
              <w:rPr>
                <w:rFonts w:ascii="Arial" w:eastAsia="Arial" w:hAnsi="Arial" w:cs="Arial"/>
                <w:b/>
                <w:color w:val="000000"/>
                <w:sz w:val="18"/>
                <w:szCs w:val="18"/>
              </w:rPr>
            </w:pPr>
            <w:r>
              <w:rPr>
                <w:rFonts w:ascii="Arial" w:eastAsia="Arial" w:hAnsi="Arial" w:cs="Arial"/>
                <w:b/>
                <w:color w:val="000000"/>
                <w:sz w:val="18"/>
                <w:szCs w:val="18"/>
              </w:rPr>
              <w:t>ITEM</w:t>
            </w:r>
          </w:p>
        </w:tc>
        <w:tc>
          <w:tcPr>
            <w:tcW w:w="2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E77832" w14:textId="77777777" w:rsidR="00D62F37" w:rsidRDefault="00114804">
            <w:pPr>
              <w:pBdr>
                <w:top w:val="nil"/>
                <w:left w:val="nil"/>
                <w:bottom w:val="nil"/>
                <w:right w:val="nil"/>
                <w:between w:val="nil"/>
              </w:pBdr>
              <w:tabs>
                <w:tab w:val="left" w:pos="555"/>
                <w:tab w:val="left" w:pos="840"/>
                <w:tab w:val="left" w:pos="1140"/>
                <w:tab w:val="left" w:pos="1395"/>
                <w:tab w:val="left" w:pos="1650"/>
                <w:tab w:val="left" w:pos="1965"/>
                <w:tab w:val="left" w:pos="2220"/>
                <w:tab w:val="left" w:pos="7336"/>
              </w:tabs>
              <w:spacing w:before="57" w:after="57"/>
              <w:jc w:val="center"/>
              <w:rPr>
                <w:rFonts w:ascii="Arial" w:eastAsia="Arial" w:hAnsi="Arial" w:cs="Arial"/>
                <w:b/>
                <w:color w:val="000000"/>
                <w:sz w:val="18"/>
                <w:szCs w:val="18"/>
              </w:rPr>
            </w:pPr>
            <w:r>
              <w:rPr>
                <w:rFonts w:ascii="Arial" w:eastAsia="Arial" w:hAnsi="Arial" w:cs="Arial"/>
                <w:b/>
                <w:color w:val="000000"/>
                <w:sz w:val="18"/>
                <w:szCs w:val="18"/>
              </w:rPr>
              <w:t>ESPECIFICAÇ</w:t>
            </w:r>
            <w:r>
              <w:rPr>
                <w:rFonts w:ascii="Arial" w:eastAsia="Arial" w:hAnsi="Arial" w:cs="Arial"/>
                <w:b/>
                <w:color w:val="000000"/>
                <w:sz w:val="18"/>
                <w:szCs w:val="18"/>
              </w:rPr>
              <w:t>ÃO</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FB13D2" w14:textId="77777777" w:rsidR="00D62F37" w:rsidRDefault="00114804">
            <w:pPr>
              <w:pBdr>
                <w:top w:val="nil"/>
                <w:left w:val="nil"/>
                <w:bottom w:val="nil"/>
                <w:right w:val="nil"/>
                <w:between w:val="nil"/>
              </w:pBdr>
              <w:tabs>
                <w:tab w:val="left" w:pos="555"/>
                <w:tab w:val="left" w:pos="840"/>
                <w:tab w:val="left" w:pos="1140"/>
                <w:tab w:val="left" w:pos="1395"/>
                <w:tab w:val="left" w:pos="1650"/>
                <w:tab w:val="left" w:pos="1965"/>
                <w:tab w:val="left" w:pos="2220"/>
                <w:tab w:val="left" w:pos="7336"/>
              </w:tabs>
              <w:spacing w:before="57" w:after="57"/>
              <w:jc w:val="center"/>
              <w:rPr>
                <w:rFonts w:ascii="Arial" w:eastAsia="Arial" w:hAnsi="Arial" w:cs="Arial"/>
                <w:b/>
                <w:color w:val="000000"/>
                <w:sz w:val="18"/>
                <w:szCs w:val="18"/>
              </w:rPr>
            </w:pPr>
            <w:r>
              <w:rPr>
                <w:rFonts w:ascii="Arial" w:eastAsia="Arial" w:hAnsi="Arial" w:cs="Arial"/>
                <w:b/>
                <w:color w:val="000000"/>
                <w:sz w:val="18"/>
                <w:szCs w:val="18"/>
              </w:rPr>
              <w:t>CATSER</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342A4A" w14:textId="77777777" w:rsidR="00D62F37" w:rsidRDefault="00114804">
            <w:pPr>
              <w:pBdr>
                <w:top w:val="nil"/>
                <w:left w:val="nil"/>
                <w:bottom w:val="nil"/>
                <w:right w:val="nil"/>
                <w:between w:val="nil"/>
              </w:pBdr>
              <w:tabs>
                <w:tab w:val="left" w:pos="555"/>
                <w:tab w:val="left" w:pos="840"/>
                <w:tab w:val="left" w:pos="1140"/>
                <w:tab w:val="left" w:pos="1395"/>
                <w:tab w:val="left" w:pos="1650"/>
                <w:tab w:val="left" w:pos="1965"/>
                <w:tab w:val="left" w:pos="2220"/>
                <w:tab w:val="left" w:pos="7336"/>
              </w:tabs>
              <w:spacing w:before="57" w:after="57"/>
              <w:jc w:val="center"/>
              <w:rPr>
                <w:rFonts w:ascii="Arial" w:eastAsia="Arial" w:hAnsi="Arial" w:cs="Arial"/>
                <w:b/>
                <w:color w:val="000000"/>
                <w:sz w:val="18"/>
                <w:szCs w:val="18"/>
              </w:rPr>
            </w:pPr>
            <w:r>
              <w:rPr>
                <w:rFonts w:ascii="Arial" w:eastAsia="Arial" w:hAnsi="Arial" w:cs="Arial"/>
                <w:b/>
                <w:color w:val="000000"/>
                <w:sz w:val="18"/>
                <w:szCs w:val="18"/>
              </w:rPr>
              <w:t>UNIDADE DE MEDIDA</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475244" w14:textId="77777777" w:rsidR="00D62F37" w:rsidRDefault="00114804">
            <w:pPr>
              <w:pBdr>
                <w:top w:val="nil"/>
                <w:left w:val="nil"/>
                <w:bottom w:val="nil"/>
                <w:right w:val="nil"/>
                <w:between w:val="nil"/>
              </w:pBdr>
              <w:tabs>
                <w:tab w:val="left" w:pos="555"/>
                <w:tab w:val="left" w:pos="840"/>
                <w:tab w:val="left" w:pos="1140"/>
                <w:tab w:val="left" w:pos="1395"/>
                <w:tab w:val="left" w:pos="1650"/>
                <w:tab w:val="left" w:pos="1965"/>
                <w:tab w:val="left" w:pos="2220"/>
                <w:tab w:val="left" w:pos="7336"/>
              </w:tabs>
              <w:spacing w:before="57" w:after="57"/>
              <w:jc w:val="center"/>
              <w:rPr>
                <w:rFonts w:ascii="Arial" w:eastAsia="Arial" w:hAnsi="Arial" w:cs="Arial"/>
                <w:b/>
                <w:color w:val="000000"/>
                <w:sz w:val="18"/>
                <w:szCs w:val="18"/>
              </w:rPr>
            </w:pPr>
            <w:r>
              <w:rPr>
                <w:rFonts w:ascii="Arial" w:eastAsia="Arial" w:hAnsi="Arial" w:cs="Arial"/>
                <w:b/>
                <w:color w:val="000000"/>
                <w:sz w:val="18"/>
                <w:szCs w:val="18"/>
              </w:rPr>
              <w:t>QUAN</w:t>
            </w:r>
            <w:r>
              <w:rPr>
                <w:rFonts w:ascii="Arial" w:eastAsia="Arial" w:hAnsi="Arial" w:cs="Arial"/>
                <w:b/>
                <w:sz w:val="18"/>
                <w:szCs w:val="18"/>
              </w:rPr>
              <w:t>T</w:t>
            </w:r>
          </w:p>
        </w:tc>
        <w:tc>
          <w:tcPr>
            <w:tcW w:w="13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2BDE6E" w14:textId="77777777" w:rsidR="00D62F37" w:rsidRDefault="00114804">
            <w:pPr>
              <w:pBdr>
                <w:top w:val="nil"/>
                <w:left w:val="nil"/>
                <w:bottom w:val="nil"/>
                <w:right w:val="nil"/>
                <w:between w:val="nil"/>
              </w:pBdr>
              <w:tabs>
                <w:tab w:val="left" w:pos="555"/>
                <w:tab w:val="left" w:pos="840"/>
                <w:tab w:val="left" w:pos="1140"/>
                <w:tab w:val="left" w:pos="1395"/>
                <w:tab w:val="left" w:pos="1650"/>
                <w:tab w:val="left" w:pos="1965"/>
                <w:tab w:val="left" w:pos="2220"/>
                <w:tab w:val="left" w:pos="7336"/>
              </w:tabs>
              <w:spacing w:before="57" w:after="57"/>
              <w:jc w:val="center"/>
              <w:rPr>
                <w:rFonts w:ascii="Arial" w:eastAsia="Arial" w:hAnsi="Arial" w:cs="Arial"/>
                <w:b/>
                <w:color w:val="000000"/>
                <w:sz w:val="18"/>
                <w:szCs w:val="18"/>
              </w:rPr>
            </w:pPr>
            <w:r>
              <w:rPr>
                <w:rFonts w:ascii="Arial" w:eastAsia="Arial" w:hAnsi="Arial" w:cs="Arial"/>
                <w:b/>
                <w:color w:val="000000"/>
                <w:sz w:val="18"/>
                <w:szCs w:val="18"/>
              </w:rPr>
              <w:t>VALOR UNITÁRIO</w:t>
            </w:r>
          </w:p>
        </w:tc>
        <w:tc>
          <w:tcPr>
            <w:tcW w:w="14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011919" w14:textId="77777777" w:rsidR="00D62F37" w:rsidRDefault="00114804">
            <w:pPr>
              <w:pBdr>
                <w:top w:val="nil"/>
                <w:left w:val="nil"/>
                <w:bottom w:val="nil"/>
                <w:right w:val="nil"/>
                <w:between w:val="nil"/>
              </w:pBdr>
              <w:tabs>
                <w:tab w:val="left" w:pos="555"/>
                <w:tab w:val="left" w:pos="840"/>
                <w:tab w:val="left" w:pos="1140"/>
                <w:tab w:val="left" w:pos="1395"/>
                <w:tab w:val="left" w:pos="1650"/>
                <w:tab w:val="left" w:pos="1965"/>
                <w:tab w:val="left" w:pos="2220"/>
                <w:tab w:val="left" w:pos="7336"/>
              </w:tabs>
              <w:spacing w:before="57" w:after="57"/>
              <w:jc w:val="center"/>
              <w:rPr>
                <w:rFonts w:ascii="Arial" w:eastAsia="Arial" w:hAnsi="Arial" w:cs="Arial"/>
                <w:b/>
                <w:color w:val="000000"/>
                <w:sz w:val="18"/>
                <w:szCs w:val="18"/>
              </w:rPr>
            </w:pPr>
            <w:r>
              <w:rPr>
                <w:rFonts w:ascii="Arial" w:eastAsia="Arial" w:hAnsi="Arial" w:cs="Arial"/>
                <w:b/>
                <w:color w:val="000000"/>
                <w:sz w:val="18"/>
                <w:szCs w:val="18"/>
              </w:rPr>
              <w:t>VALOR TOTAL</w:t>
            </w:r>
          </w:p>
        </w:tc>
      </w:tr>
      <w:tr w:rsidR="00D62F37" w14:paraId="746947CD" w14:textId="77777777">
        <w:tc>
          <w:tcPr>
            <w:tcW w:w="6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FF5514" w14:textId="77777777" w:rsidR="00D62F37" w:rsidRDefault="00114804">
            <w:pPr>
              <w:pBdr>
                <w:top w:val="nil"/>
                <w:left w:val="nil"/>
                <w:bottom w:val="nil"/>
                <w:right w:val="nil"/>
                <w:between w:val="nil"/>
              </w:pBdr>
              <w:tabs>
                <w:tab w:val="left" w:pos="555"/>
                <w:tab w:val="left" w:pos="840"/>
                <w:tab w:val="left" w:pos="1140"/>
                <w:tab w:val="left" w:pos="1395"/>
                <w:tab w:val="left" w:pos="1650"/>
                <w:tab w:val="left" w:pos="1965"/>
                <w:tab w:val="left" w:pos="2220"/>
                <w:tab w:val="left" w:pos="7336"/>
              </w:tabs>
              <w:spacing w:before="57" w:after="57"/>
              <w:jc w:val="center"/>
              <w:rPr>
                <w:rFonts w:ascii="Calibri" w:eastAsia="Calibri" w:hAnsi="Calibri" w:cs="Calibri"/>
                <w:color w:val="000000"/>
                <w:sz w:val="22"/>
                <w:szCs w:val="22"/>
              </w:rPr>
            </w:pPr>
            <w:r>
              <w:rPr>
                <w:rFonts w:ascii="Calibri" w:eastAsia="Calibri" w:hAnsi="Calibri" w:cs="Calibri"/>
                <w:color w:val="000000"/>
                <w:sz w:val="22"/>
                <w:szCs w:val="22"/>
              </w:rPr>
              <w:t>1</w:t>
            </w:r>
          </w:p>
        </w:tc>
        <w:tc>
          <w:tcPr>
            <w:tcW w:w="2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6FCDE2" w14:textId="77777777" w:rsidR="00D62F37" w:rsidRDefault="00114804">
            <w:pPr>
              <w:widowControl w:val="0"/>
              <w:tabs>
                <w:tab w:val="left" w:pos="582"/>
                <w:tab w:val="left" w:pos="867"/>
                <w:tab w:val="left" w:pos="1167"/>
                <w:tab w:val="left" w:pos="1422"/>
                <w:tab w:val="left" w:pos="1677"/>
                <w:tab w:val="left" w:pos="1992"/>
                <w:tab w:val="left" w:pos="2247"/>
                <w:tab w:val="left" w:pos="7363"/>
              </w:tabs>
              <w:spacing w:before="57" w:after="57"/>
              <w:jc w:val="both"/>
              <w:rPr>
                <w:rFonts w:ascii="Arial" w:eastAsia="Arial" w:hAnsi="Arial" w:cs="Arial"/>
                <w:color w:val="FF3333"/>
                <w:sz w:val="22"/>
                <w:szCs w:val="22"/>
              </w:rPr>
            </w:pPr>
            <w:r>
              <w:rPr>
                <w:rFonts w:ascii="Calibri" w:eastAsia="Calibri" w:hAnsi="Calibri" w:cs="Calibri"/>
              </w:rPr>
              <w:t>Contratação de empresa especializada no serviço de instalação, fornecimento e manutenção (corretiva e preventiva) de link de acesso à internet dedicado de 500 (Quinhentos) Mbps, full Duplex, síncrona, simétrica. Implementado por meio de fibra óptica, com g</w:t>
            </w:r>
            <w:r>
              <w:rPr>
                <w:rFonts w:ascii="Calibri" w:eastAsia="Calibri" w:hAnsi="Calibri" w:cs="Calibri"/>
              </w:rPr>
              <w:t xml:space="preserve">arantia mínima de 99% de download e upload. Com no mínimo 6 </w:t>
            </w:r>
            <w:proofErr w:type="spellStart"/>
            <w:r>
              <w:rPr>
                <w:rFonts w:ascii="Calibri" w:eastAsia="Calibri" w:hAnsi="Calibri" w:cs="Calibri"/>
              </w:rPr>
              <w:t>IPs</w:t>
            </w:r>
            <w:proofErr w:type="spellEnd"/>
            <w:r>
              <w:rPr>
                <w:rFonts w:ascii="Calibri" w:eastAsia="Calibri" w:hAnsi="Calibri" w:cs="Calibri"/>
              </w:rPr>
              <w:t xml:space="preserve"> fixos e válidos. A interligação ponto a ponto (Lan </w:t>
            </w:r>
            <w:proofErr w:type="spellStart"/>
            <w:r>
              <w:rPr>
                <w:rFonts w:ascii="Calibri" w:eastAsia="Calibri" w:hAnsi="Calibri" w:cs="Calibri"/>
              </w:rPr>
              <w:t>to</w:t>
            </w:r>
            <w:proofErr w:type="spellEnd"/>
            <w:r>
              <w:rPr>
                <w:rFonts w:ascii="Calibri" w:eastAsia="Calibri" w:hAnsi="Calibri" w:cs="Calibri"/>
              </w:rPr>
              <w:t xml:space="preserve"> Lan) entre o setor da área agrícola e o Datacenter pode ser realizada com fibra óptica ou com equipamentos via rádio, desde que a velocida</w:t>
            </w:r>
            <w:r>
              <w:rPr>
                <w:rFonts w:ascii="Calibri" w:eastAsia="Calibri" w:hAnsi="Calibri" w:cs="Calibri"/>
              </w:rPr>
              <w:t>de do link não seja inferior a 100 (cem) Mbps. Demais requisitos definidos no Estudo Técnico Preliminar.</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3A4D6A" w14:textId="6EF06297" w:rsidR="00D62F37" w:rsidRDefault="00114804">
            <w:pPr>
              <w:pBdr>
                <w:top w:val="nil"/>
                <w:left w:val="nil"/>
                <w:bottom w:val="nil"/>
                <w:right w:val="nil"/>
                <w:between w:val="nil"/>
              </w:pBdr>
              <w:tabs>
                <w:tab w:val="left" w:pos="555"/>
                <w:tab w:val="left" w:pos="840"/>
                <w:tab w:val="left" w:pos="1140"/>
                <w:tab w:val="left" w:pos="1395"/>
                <w:tab w:val="left" w:pos="1650"/>
                <w:tab w:val="left" w:pos="1965"/>
                <w:tab w:val="left" w:pos="2220"/>
                <w:tab w:val="left" w:pos="7336"/>
              </w:tabs>
              <w:spacing w:before="57" w:after="57"/>
              <w:jc w:val="center"/>
              <w:rPr>
                <w:rFonts w:ascii="Calibri" w:eastAsia="Calibri" w:hAnsi="Calibri" w:cs="Calibri"/>
              </w:rPr>
            </w:pPr>
            <w:r>
              <w:rPr>
                <w:rFonts w:ascii="Calibri" w:eastAsia="Calibri" w:hAnsi="Calibri" w:cs="Calibri"/>
              </w:rPr>
              <w:t>26</w:t>
            </w:r>
            <w:r w:rsidR="002536FA">
              <w:rPr>
                <w:rFonts w:ascii="Calibri" w:eastAsia="Calibri" w:hAnsi="Calibri" w:cs="Calibri"/>
              </w:rPr>
              <w:t>344</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B8AE27" w14:textId="77777777" w:rsidR="00D62F37" w:rsidRDefault="00114804">
            <w:pPr>
              <w:pBdr>
                <w:top w:val="nil"/>
                <w:left w:val="nil"/>
                <w:bottom w:val="nil"/>
                <w:right w:val="nil"/>
                <w:between w:val="nil"/>
              </w:pBdr>
              <w:tabs>
                <w:tab w:val="left" w:pos="555"/>
                <w:tab w:val="left" w:pos="840"/>
                <w:tab w:val="left" w:pos="1140"/>
                <w:tab w:val="left" w:pos="1395"/>
                <w:tab w:val="left" w:pos="1650"/>
                <w:tab w:val="left" w:pos="1965"/>
                <w:tab w:val="left" w:pos="2220"/>
                <w:tab w:val="left" w:pos="7336"/>
              </w:tabs>
              <w:spacing w:before="57" w:after="57"/>
              <w:jc w:val="center"/>
              <w:rPr>
                <w:rFonts w:ascii="Arial" w:eastAsia="Arial" w:hAnsi="Arial" w:cs="Arial"/>
                <w:sz w:val="22"/>
                <w:szCs w:val="22"/>
              </w:rPr>
            </w:pPr>
            <w:r>
              <w:rPr>
                <w:rFonts w:ascii="Arial" w:eastAsia="Arial" w:hAnsi="Arial" w:cs="Arial"/>
                <w:sz w:val="22"/>
                <w:szCs w:val="22"/>
              </w:rPr>
              <w:t>Mês</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FDF56B" w14:textId="77777777" w:rsidR="00D62F37" w:rsidRDefault="00114804">
            <w:pPr>
              <w:pBdr>
                <w:top w:val="nil"/>
                <w:left w:val="nil"/>
                <w:bottom w:val="nil"/>
                <w:right w:val="nil"/>
                <w:between w:val="nil"/>
              </w:pBdr>
              <w:tabs>
                <w:tab w:val="left" w:pos="555"/>
                <w:tab w:val="left" w:pos="840"/>
                <w:tab w:val="left" w:pos="1140"/>
                <w:tab w:val="left" w:pos="1395"/>
                <w:tab w:val="left" w:pos="1650"/>
                <w:tab w:val="left" w:pos="1965"/>
                <w:tab w:val="left" w:pos="2220"/>
                <w:tab w:val="left" w:pos="7336"/>
              </w:tabs>
              <w:spacing w:before="57" w:after="57"/>
              <w:jc w:val="center"/>
              <w:rPr>
                <w:rFonts w:ascii="Arial" w:eastAsia="Arial" w:hAnsi="Arial" w:cs="Arial"/>
                <w:sz w:val="22"/>
                <w:szCs w:val="22"/>
              </w:rPr>
            </w:pPr>
            <w:r>
              <w:rPr>
                <w:rFonts w:ascii="Arial" w:eastAsia="Arial" w:hAnsi="Arial" w:cs="Arial"/>
                <w:sz w:val="22"/>
                <w:szCs w:val="22"/>
              </w:rPr>
              <w:t>24</w:t>
            </w:r>
          </w:p>
        </w:tc>
        <w:tc>
          <w:tcPr>
            <w:tcW w:w="13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BCEF3F" w14:textId="77777777" w:rsidR="00D62F37" w:rsidRDefault="00114804">
            <w:pPr>
              <w:pBdr>
                <w:top w:val="nil"/>
                <w:left w:val="nil"/>
                <w:bottom w:val="nil"/>
                <w:right w:val="nil"/>
                <w:between w:val="nil"/>
              </w:pBdr>
              <w:tabs>
                <w:tab w:val="left" w:pos="555"/>
                <w:tab w:val="left" w:pos="840"/>
                <w:tab w:val="left" w:pos="1140"/>
                <w:tab w:val="left" w:pos="1395"/>
                <w:tab w:val="left" w:pos="1650"/>
                <w:tab w:val="left" w:pos="1965"/>
                <w:tab w:val="left" w:pos="2220"/>
                <w:tab w:val="left" w:pos="7336"/>
              </w:tabs>
              <w:spacing w:before="57" w:after="57"/>
              <w:jc w:val="both"/>
              <w:rPr>
                <w:rFonts w:ascii="Calibri" w:eastAsia="Calibri" w:hAnsi="Calibri" w:cs="Calibri"/>
                <w:sz w:val="22"/>
                <w:szCs w:val="22"/>
              </w:rPr>
            </w:pPr>
            <w:r>
              <w:rPr>
                <w:rFonts w:ascii="Calibri" w:eastAsia="Calibri" w:hAnsi="Calibri" w:cs="Calibri"/>
              </w:rPr>
              <w:t>R$3.833,31</w:t>
            </w:r>
          </w:p>
        </w:tc>
        <w:tc>
          <w:tcPr>
            <w:tcW w:w="14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333AF3" w14:textId="77777777" w:rsidR="00D62F37" w:rsidRDefault="00114804">
            <w:pPr>
              <w:pBdr>
                <w:top w:val="nil"/>
                <w:left w:val="nil"/>
                <w:bottom w:val="nil"/>
                <w:right w:val="nil"/>
                <w:between w:val="nil"/>
              </w:pBdr>
              <w:tabs>
                <w:tab w:val="left" w:pos="555"/>
                <w:tab w:val="left" w:pos="840"/>
                <w:tab w:val="left" w:pos="1140"/>
                <w:tab w:val="left" w:pos="1395"/>
                <w:tab w:val="left" w:pos="1650"/>
                <w:tab w:val="left" w:pos="1965"/>
                <w:tab w:val="left" w:pos="2220"/>
                <w:tab w:val="left" w:pos="7336"/>
              </w:tabs>
              <w:spacing w:before="57" w:after="57"/>
              <w:jc w:val="both"/>
              <w:rPr>
                <w:rFonts w:ascii="Calibri" w:eastAsia="Calibri" w:hAnsi="Calibri" w:cs="Calibri"/>
                <w:sz w:val="22"/>
                <w:szCs w:val="22"/>
              </w:rPr>
            </w:pPr>
            <w:r>
              <w:rPr>
                <w:rFonts w:ascii="Calibri" w:eastAsia="Calibri" w:hAnsi="Calibri" w:cs="Calibri"/>
              </w:rPr>
              <w:t>R$91.999,52</w:t>
            </w:r>
          </w:p>
        </w:tc>
      </w:tr>
    </w:tbl>
    <w:p w14:paraId="05F48747"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serviço(</w:t>
      </w:r>
      <w:r>
        <w:rPr>
          <w:rFonts w:ascii="Arial" w:eastAsia="Arial" w:hAnsi="Arial" w:cs="Arial"/>
          <w:sz w:val="20"/>
          <w:szCs w:val="20"/>
        </w:rPr>
        <w:t xml:space="preserve">s) objeto desta contratação são caracterizados como comuns, uma vez que </w:t>
      </w:r>
      <w:r>
        <w:rPr>
          <w:rFonts w:ascii="Arial" w:eastAsia="Arial" w:hAnsi="Arial" w:cs="Arial"/>
          <w:sz w:val="20"/>
          <w:szCs w:val="20"/>
        </w:rPr>
        <w:t>é prestado no mercado e disponível a qualquer tempo</w:t>
      </w:r>
      <w:r>
        <w:rPr>
          <w:rFonts w:ascii="Arial" w:eastAsia="Arial" w:hAnsi="Arial" w:cs="Arial"/>
          <w:sz w:val="20"/>
          <w:szCs w:val="20"/>
        </w:rPr>
        <w:t>.</w:t>
      </w:r>
    </w:p>
    <w:p w14:paraId="10F64F64"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 xml:space="preserve">O prazo de vigência da contratação é de </w:t>
      </w:r>
      <w:r>
        <w:rPr>
          <w:rFonts w:ascii="Arial" w:eastAsia="Arial" w:hAnsi="Arial" w:cs="Arial"/>
          <w:sz w:val="20"/>
          <w:szCs w:val="20"/>
        </w:rPr>
        <w:t>24 (vinte e quatro) meses, conforme vigência estabelecida no Termo de Contrato</w:t>
      </w:r>
      <w:r>
        <w:rPr>
          <w:rFonts w:ascii="Arial" w:eastAsia="Arial" w:hAnsi="Arial" w:cs="Arial"/>
          <w:sz w:val="20"/>
          <w:szCs w:val="20"/>
        </w:rPr>
        <w:t xml:space="preserve">, prorrogável </w:t>
      </w:r>
      <w:r>
        <w:rPr>
          <w:rFonts w:ascii="Arial" w:eastAsia="Arial" w:hAnsi="Arial" w:cs="Arial"/>
          <w:sz w:val="20"/>
          <w:szCs w:val="20"/>
        </w:rPr>
        <w:t>por</w:t>
      </w:r>
      <w:r>
        <w:rPr>
          <w:rFonts w:ascii="Arial" w:eastAsia="Arial" w:hAnsi="Arial" w:cs="Arial"/>
          <w:sz w:val="20"/>
          <w:szCs w:val="20"/>
        </w:rPr>
        <w:t xml:space="preserve"> até 10 anos, na forma dos artigos 106 e 107 da Lei n° 14.133, de 2021.</w:t>
      </w:r>
    </w:p>
    <w:p w14:paraId="54506354"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sz w:val="20"/>
          <w:szCs w:val="20"/>
        </w:rPr>
        <w:t>O serviço é enquadrado como continuado tendo em vista a necess</w:t>
      </w:r>
      <w:r>
        <w:rPr>
          <w:rFonts w:ascii="Arial" w:eastAsia="Arial" w:hAnsi="Arial" w:cs="Arial"/>
          <w:sz w:val="20"/>
          <w:szCs w:val="20"/>
        </w:rPr>
        <w:t>idade de</w:t>
      </w:r>
      <w:r>
        <w:rPr>
          <w:rFonts w:ascii="Arial" w:eastAsia="Arial" w:hAnsi="Arial" w:cs="Arial"/>
          <w:sz w:val="20"/>
          <w:szCs w:val="20"/>
        </w:rPr>
        <w:t xml:space="preserve"> </w:t>
      </w:r>
      <w:r>
        <w:rPr>
          <w:rFonts w:ascii="Arial" w:eastAsia="Arial" w:hAnsi="Arial" w:cs="Arial"/>
          <w:sz w:val="20"/>
          <w:szCs w:val="20"/>
        </w:rPr>
        <w:t xml:space="preserve">manter os serviços diariamente/anualmente e sem interrupções, devido ao uso contínuo da internet para provimento </w:t>
      </w:r>
      <w:r>
        <w:rPr>
          <w:rFonts w:ascii="Arial" w:eastAsia="Arial" w:hAnsi="Arial" w:cs="Arial"/>
          <w:sz w:val="20"/>
          <w:szCs w:val="20"/>
        </w:rPr>
        <w:t>de serviços, bem como acesso para tarefas institucionais</w:t>
      </w:r>
      <w:r>
        <w:rPr>
          <w:rFonts w:ascii="Arial" w:eastAsia="Arial" w:hAnsi="Arial" w:cs="Arial"/>
          <w:sz w:val="20"/>
          <w:szCs w:val="20"/>
        </w:rPr>
        <w:t>.</w:t>
      </w:r>
    </w:p>
    <w:p w14:paraId="2AFF699B"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lastRenderedPageBreak/>
        <w:t>O contrato oferece maior detalhamento das regras que serão aplicadas em relação à vigência da contratação.</w:t>
      </w:r>
    </w:p>
    <w:p w14:paraId="23831BDA" w14:textId="77777777" w:rsidR="00D62F37" w:rsidRDefault="00114804">
      <w:pPr>
        <w:keepNext/>
        <w:keepLines/>
        <w:numPr>
          <w:ilvl w:val="0"/>
          <w:numId w:val="1"/>
        </w:numPr>
        <w:pBdr>
          <w:top w:val="nil"/>
          <w:left w:val="nil"/>
          <w:bottom w:val="nil"/>
          <w:right w:val="nil"/>
          <w:between w:val="nil"/>
        </w:pBdr>
        <w:tabs>
          <w:tab w:val="left" w:pos="-709"/>
        </w:tabs>
        <w:spacing w:before="240" w:after="120" w:line="276" w:lineRule="auto"/>
        <w:jc w:val="both"/>
      </w:pPr>
      <w:r>
        <w:rPr>
          <w:rFonts w:ascii="Arial" w:eastAsia="Arial" w:hAnsi="Arial" w:cs="Arial"/>
          <w:b/>
          <w:color w:val="000000"/>
          <w:sz w:val="20"/>
          <w:szCs w:val="20"/>
        </w:rPr>
        <w:t>DESCRIÇÃO DA SOLUÇÃO COMO UM TODO CONSIDERADO O CICLO DE VIDA DO OBJETO E ESPECIFICAÇÃO DO PRODUTO</w:t>
      </w:r>
    </w:p>
    <w:p w14:paraId="77D04B0A"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descrição da solução como um todo encontra-se po</w:t>
      </w:r>
      <w:r>
        <w:rPr>
          <w:rFonts w:ascii="Arial" w:eastAsia="Arial" w:hAnsi="Arial" w:cs="Arial"/>
          <w:color w:val="000000"/>
          <w:sz w:val="20"/>
          <w:szCs w:val="20"/>
        </w:rPr>
        <w:t>rmenorizada em tópico específico dos Estudos Técni</w:t>
      </w:r>
      <w:r>
        <w:rPr>
          <w:rFonts w:ascii="Arial" w:eastAsia="Arial" w:hAnsi="Arial" w:cs="Arial"/>
          <w:color w:val="000000"/>
          <w:sz w:val="20"/>
          <w:szCs w:val="20"/>
        </w:rPr>
        <w:t>cos Preliminares, apêndice deste Termo de Referência.</w:t>
      </w:r>
    </w:p>
    <w:p w14:paraId="0CDBBE77"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solução de TIC con</w:t>
      </w:r>
      <w:r>
        <w:rPr>
          <w:rFonts w:ascii="Arial" w:eastAsia="Arial" w:hAnsi="Arial" w:cs="Arial"/>
          <w:sz w:val="20"/>
          <w:szCs w:val="20"/>
        </w:rPr>
        <w:t xml:space="preserve">siste em </w:t>
      </w:r>
      <w:r>
        <w:rPr>
          <w:rFonts w:ascii="Arial" w:eastAsia="Arial" w:hAnsi="Arial" w:cs="Arial"/>
          <w:sz w:val="20"/>
          <w:szCs w:val="20"/>
        </w:rPr>
        <w:t xml:space="preserve">contratar </w:t>
      </w:r>
      <w:r>
        <w:rPr>
          <w:rFonts w:ascii="Arial" w:eastAsia="Arial" w:hAnsi="Arial" w:cs="Arial"/>
          <w:sz w:val="20"/>
          <w:szCs w:val="20"/>
        </w:rPr>
        <w:t xml:space="preserve">empresa especializada no serviço de disponibilização de internet, com velocidade de 500 Mbps dedicados via fibra óptica, </w:t>
      </w:r>
      <w:proofErr w:type="gramStart"/>
      <w:r>
        <w:rPr>
          <w:rFonts w:ascii="Arial" w:eastAsia="Arial" w:hAnsi="Arial" w:cs="Arial"/>
          <w:sz w:val="20"/>
          <w:szCs w:val="20"/>
        </w:rPr>
        <w:t>com  interligação</w:t>
      </w:r>
      <w:proofErr w:type="gramEnd"/>
      <w:r>
        <w:rPr>
          <w:rFonts w:ascii="Arial" w:eastAsia="Arial" w:hAnsi="Arial" w:cs="Arial"/>
          <w:sz w:val="20"/>
          <w:szCs w:val="20"/>
        </w:rPr>
        <w:t xml:space="preserve"> “Lan </w:t>
      </w:r>
      <w:proofErr w:type="spellStart"/>
      <w:r>
        <w:rPr>
          <w:rFonts w:ascii="Arial" w:eastAsia="Arial" w:hAnsi="Arial" w:cs="Arial"/>
          <w:sz w:val="20"/>
          <w:szCs w:val="20"/>
        </w:rPr>
        <w:t>to</w:t>
      </w:r>
      <w:proofErr w:type="spellEnd"/>
      <w:r>
        <w:rPr>
          <w:rFonts w:ascii="Arial" w:eastAsia="Arial" w:hAnsi="Arial" w:cs="Arial"/>
          <w:sz w:val="20"/>
          <w:szCs w:val="20"/>
        </w:rPr>
        <w:t xml:space="preserve"> Lan” entre área agrícola e Datacenter, conforme estabelecido no item 1 deste instrumento, bem como aos demais</w:t>
      </w:r>
      <w:r>
        <w:rPr>
          <w:rFonts w:ascii="Arial" w:eastAsia="Arial" w:hAnsi="Arial" w:cs="Arial"/>
          <w:sz w:val="20"/>
          <w:szCs w:val="20"/>
        </w:rPr>
        <w:t xml:space="preserve"> requisitos definidos no Estudo Técnico Preliminar</w:t>
      </w:r>
      <w:r>
        <w:rPr>
          <w:rFonts w:ascii="Arial" w:eastAsia="Arial" w:hAnsi="Arial" w:cs="Arial"/>
          <w:sz w:val="20"/>
          <w:szCs w:val="20"/>
        </w:rPr>
        <w:t>.</w:t>
      </w:r>
    </w:p>
    <w:p w14:paraId="65268A35" w14:textId="77777777" w:rsidR="00D62F37" w:rsidRDefault="00114804">
      <w:pPr>
        <w:keepNext/>
        <w:keepLines/>
        <w:numPr>
          <w:ilvl w:val="0"/>
          <w:numId w:val="1"/>
        </w:numPr>
        <w:pBdr>
          <w:top w:val="nil"/>
          <w:left w:val="nil"/>
          <w:bottom w:val="nil"/>
          <w:right w:val="nil"/>
          <w:between w:val="nil"/>
        </w:pBdr>
        <w:tabs>
          <w:tab w:val="left" w:pos="-709"/>
        </w:tabs>
        <w:spacing w:before="240" w:after="120" w:line="276" w:lineRule="auto"/>
        <w:jc w:val="both"/>
        <w:rPr>
          <w:rFonts w:ascii="Arial" w:eastAsia="Arial" w:hAnsi="Arial" w:cs="Arial"/>
          <w:b/>
          <w:i/>
          <w:color w:val="000000"/>
          <w:sz w:val="20"/>
          <w:szCs w:val="20"/>
        </w:rPr>
      </w:pPr>
      <w:r>
        <w:rPr>
          <w:rFonts w:ascii="Arial" w:eastAsia="Arial" w:hAnsi="Arial" w:cs="Arial"/>
          <w:b/>
          <w:color w:val="000000"/>
          <w:sz w:val="20"/>
          <w:szCs w:val="20"/>
        </w:rPr>
        <w:t>FUNDAMENTAÇÃO E DESCRIÇÃO DA NECESSIDADE DA CONTRATAÇÃO</w:t>
      </w:r>
    </w:p>
    <w:p w14:paraId="12910F30"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presente contrataçã</w:t>
      </w:r>
      <w:r>
        <w:rPr>
          <w:rFonts w:ascii="Arial" w:eastAsia="Arial" w:hAnsi="Arial" w:cs="Arial"/>
          <w:sz w:val="20"/>
          <w:szCs w:val="20"/>
        </w:rPr>
        <w:t xml:space="preserve">o justifica-se </w:t>
      </w:r>
      <w:r>
        <w:rPr>
          <w:rFonts w:ascii="Arial" w:eastAsia="Arial" w:hAnsi="Arial" w:cs="Arial"/>
          <w:sz w:val="20"/>
          <w:szCs w:val="20"/>
        </w:rPr>
        <w:t xml:space="preserve">pela necessidade de contratação de disponibilização de link de internet para o Campus Ibirubá do IFRS, já que o </w:t>
      </w:r>
      <w:r>
        <w:rPr>
          <w:rFonts w:ascii="Arial" w:eastAsia="Arial" w:hAnsi="Arial" w:cs="Arial"/>
          <w:sz w:val="20"/>
          <w:szCs w:val="20"/>
        </w:rPr>
        <w:t>atual contrato não poderá ser renovado novamente e os serviços prestados pelo Campus Ibirubá estão cada vez mais dependentes da tecnologia da informação e a necessidade de comunicação através da internet torna-se indispensável.</w:t>
      </w:r>
    </w:p>
    <w:p w14:paraId="6200688C"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w:t>
      </w:r>
      <w:r>
        <w:rPr>
          <w:rFonts w:ascii="Arial" w:eastAsia="Arial" w:hAnsi="Arial" w:cs="Arial"/>
          <w:color w:val="000000"/>
          <w:sz w:val="20"/>
          <w:szCs w:val="20"/>
        </w:rPr>
        <w:t>....]</w:t>
      </w:r>
    </w:p>
    <w:p w14:paraId="44B7A0F8"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 objeto da contratação está previsto no Plano de Contratações Anual </w:t>
      </w:r>
      <w:r>
        <w:rPr>
          <w:rFonts w:ascii="Arial" w:eastAsia="Arial" w:hAnsi="Arial" w:cs="Arial"/>
          <w:sz w:val="20"/>
          <w:szCs w:val="20"/>
        </w:rPr>
        <w:t>2024</w:t>
      </w:r>
      <w:r>
        <w:rPr>
          <w:rFonts w:ascii="Arial" w:eastAsia="Arial" w:hAnsi="Arial" w:cs="Arial"/>
          <w:color w:val="000000"/>
          <w:sz w:val="20"/>
          <w:szCs w:val="20"/>
        </w:rPr>
        <w:t>, conforme detalhamento a seguir:</w:t>
      </w:r>
    </w:p>
    <w:p w14:paraId="53A72954" w14:textId="77777777" w:rsidR="00D62F37" w:rsidRDefault="00114804">
      <w:pPr>
        <w:widowControl w:val="0"/>
        <w:numPr>
          <w:ilvl w:val="0"/>
          <w:numId w:val="3"/>
        </w:numPr>
        <w:pBdr>
          <w:top w:val="nil"/>
          <w:left w:val="nil"/>
          <w:bottom w:val="nil"/>
          <w:right w:val="nil"/>
          <w:between w:val="nil"/>
        </w:pBdr>
        <w:spacing w:before="120" w:line="276" w:lineRule="auto"/>
        <w:ind w:left="284" w:firstLine="0"/>
        <w:rPr>
          <w:rFonts w:ascii="Arial" w:eastAsia="Arial" w:hAnsi="Arial" w:cs="Arial"/>
          <w:color w:val="000000"/>
          <w:sz w:val="20"/>
          <w:szCs w:val="20"/>
        </w:rPr>
      </w:pPr>
      <w:r>
        <w:rPr>
          <w:rFonts w:ascii="Arial" w:eastAsia="Arial" w:hAnsi="Arial" w:cs="Arial"/>
          <w:color w:val="000000"/>
          <w:sz w:val="20"/>
          <w:szCs w:val="20"/>
        </w:rPr>
        <w:t>ID PCA n</w:t>
      </w:r>
      <w:r>
        <w:rPr>
          <w:rFonts w:ascii="Arial" w:eastAsia="Arial" w:hAnsi="Arial" w:cs="Arial"/>
          <w:sz w:val="20"/>
          <w:szCs w:val="20"/>
        </w:rPr>
        <w:t xml:space="preserve">o PNCP: </w:t>
      </w:r>
      <w:r>
        <w:rPr>
          <w:rFonts w:ascii="Arial" w:eastAsia="Arial" w:hAnsi="Arial" w:cs="Arial"/>
          <w:sz w:val="20"/>
          <w:szCs w:val="20"/>
        </w:rPr>
        <w:t>10637926000146-0-000001/2024</w:t>
      </w:r>
      <w:r>
        <w:rPr>
          <w:rFonts w:ascii="Arial" w:eastAsia="Arial" w:hAnsi="Arial" w:cs="Arial"/>
          <w:sz w:val="20"/>
          <w:szCs w:val="20"/>
        </w:rPr>
        <w:t>;</w:t>
      </w:r>
    </w:p>
    <w:p w14:paraId="4EE9502F" w14:textId="77777777" w:rsidR="00D62F37" w:rsidRDefault="00114804">
      <w:pPr>
        <w:widowControl w:val="0"/>
        <w:numPr>
          <w:ilvl w:val="0"/>
          <w:numId w:val="3"/>
        </w:numPr>
        <w:pBdr>
          <w:top w:val="nil"/>
          <w:left w:val="nil"/>
          <w:bottom w:val="nil"/>
          <w:right w:val="nil"/>
          <w:between w:val="nil"/>
        </w:pBdr>
        <w:spacing w:line="276" w:lineRule="auto"/>
        <w:ind w:left="284" w:firstLine="0"/>
        <w:rPr>
          <w:rFonts w:ascii="Arial" w:eastAsia="Arial" w:hAnsi="Arial" w:cs="Arial"/>
          <w:sz w:val="20"/>
          <w:szCs w:val="20"/>
        </w:rPr>
      </w:pPr>
      <w:r>
        <w:rPr>
          <w:rFonts w:ascii="Arial" w:eastAsia="Arial" w:hAnsi="Arial" w:cs="Arial"/>
          <w:sz w:val="20"/>
          <w:szCs w:val="20"/>
        </w:rPr>
        <w:t>Data de publicação no PNCP:</w:t>
      </w:r>
      <w:r>
        <w:rPr>
          <w:rFonts w:ascii="Arial" w:eastAsia="Arial" w:hAnsi="Arial" w:cs="Arial"/>
          <w:sz w:val="20"/>
          <w:szCs w:val="20"/>
        </w:rPr>
        <w:t>19/05/2023</w:t>
      </w:r>
      <w:r>
        <w:rPr>
          <w:rFonts w:ascii="Arial" w:eastAsia="Arial" w:hAnsi="Arial" w:cs="Arial"/>
          <w:sz w:val="20"/>
          <w:szCs w:val="20"/>
        </w:rPr>
        <w:t>;</w:t>
      </w:r>
    </w:p>
    <w:p w14:paraId="67B5FEA7" w14:textId="77777777" w:rsidR="00D62F37" w:rsidRDefault="00114804">
      <w:pPr>
        <w:widowControl w:val="0"/>
        <w:numPr>
          <w:ilvl w:val="0"/>
          <w:numId w:val="3"/>
        </w:numPr>
        <w:pBdr>
          <w:top w:val="nil"/>
          <w:left w:val="nil"/>
          <w:bottom w:val="nil"/>
          <w:right w:val="nil"/>
          <w:between w:val="nil"/>
        </w:pBdr>
        <w:spacing w:line="276" w:lineRule="auto"/>
        <w:ind w:left="284" w:firstLine="0"/>
        <w:rPr>
          <w:rFonts w:ascii="Arial" w:eastAsia="Arial" w:hAnsi="Arial" w:cs="Arial"/>
          <w:sz w:val="20"/>
          <w:szCs w:val="20"/>
        </w:rPr>
      </w:pPr>
      <w:r>
        <w:rPr>
          <w:rFonts w:ascii="Arial" w:eastAsia="Arial" w:hAnsi="Arial" w:cs="Arial"/>
          <w:sz w:val="20"/>
          <w:szCs w:val="20"/>
        </w:rPr>
        <w:t xml:space="preserve">Id do item no PCA: </w:t>
      </w:r>
      <w:r>
        <w:rPr>
          <w:rFonts w:ascii="Arial" w:eastAsia="Arial" w:hAnsi="Arial" w:cs="Arial"/>
          <w:sz w:val="20"/>
          <w:szCs w:val="20"/>
        </w:rPr>
        <w:t>859</w:t>
      </w:r>
      <w:r>
        <w:rPr>
          <w:rFonts w:ascii="Arial" w:eastAsia="Arial" w:hAnsi="Arial" w:cs="Arial"/>
          <w:sz w:val="20"/>
          <w:szCs w:val="20"/>
        </w:rPr>
        <w:t>;</w:t>
      </w:r>
    </w:p>
    <w:p w14:paraId="4BF735DE" w14:textId="77777777" w:rsidR="00D62F37" w:rsidRDefault="00114804">
      <w:pPr>
        <w:widowControl w:val="0"/>
        <w:numPr>
          <w:ilvl w:val="0"/>
          <w:numId w:val="3"/>
        </w:numPr>
        <w:pBdr>
          <w:top w:val="nil"/>
          <w:left w:val="nil"/>
          <w:bottom w:val="nil"/>
          <w:right w:val="nil"/>
          <w:between w:val="nil"/>
        </w:pBdr>
        <w:spacing w:line="276" w:lineRule="auto"/>
        <w:ind w:left="284" w:firstLine="0"/>
        <w:rPr>
          <w:rFonts w:ascii="Arial" w:eastAsia="Arial" w:hAnsi="Arial" w:cs="Arial"/>
          <w:sz w:val="20"/>
          <w:szCs w:val="20"/>
        </w:rPr>
      </w:pPr>
      <w:r>
        <w:rPr>
          <w:rFonts w:ascii="Arial" w:eastAsia="Arial" w:hAnsi="Arial" w:cs="Arial"/>
          <w:sz w:val="20"/>
          <w:szCs w:val="20"/>
        </w:rPr>
        <w:t xml:space="preserve">Classe/Grupo: </w:t>
      </w:r>
      <w:proofErr w:type="gramStart"/>
      <w:r>
        <w:rPr>
          <w:rFonts w:ascii="Arial" w:eastAsia="Arial" w:hAnsi="Arial" w:cs="Arial"/>
          <w:sz w:val="20"/>
          <w:szCs w:val="20"/>
        </w:rPr>
        <w:t>SERVIÇOS  DE</w:t>
      </w:r>
      <w:proofErr w:type="gramEnd"/>
      <w:r>
        <w:rPr>
          <w:rFonts w:ascii="Arial" w:eastAsia="Arial" w:hAnsi="Arial" w:cs="Arial"/>
          <w:sz w:val="20"/>
          <w:szCs w:val="20"/>
        </w:rPr>
        <w:t xml:space="preserve">  GERENCIAMENTO  EM TECNOLOGIA DA INFORMAÇÃO E COMUNICAÇÃO (TIC)</w:t>
      </w:r>
      <w:r>
        <w:rPr>
          <w:rFonts w:ascii="Arial" w:eastAsia="Arial" w:hAnsi="Arial" w:cs="Arial"/>
          <w:sz w:val="20"/>
          <w:szCs w:val="20"/>
        </w:rPr>
        <w:t>;</w:t>
      </w:r>
    </w:p>
    <w:p w14:paraId="65DA6062" w14:textId="77777777" w:rsidR="00D62F37" w:rsidRDefault="00114804">
      <w:pPr>
        <w:widowControl w:val="0"/>
        <w:numPr>
          <w:ilvl w:val="0"/>
          <w:numId w:val="3"/>
        </w:numPr>
        <w:pBdr>
          <w:top w:val="nil"/>
          <w:left w:val="nil"/>
          <w:bottom w:val="nil"/>
          <w:right w:val="nil"/>
          <w:between w:val="nil"/>
        </w:pBdr>
        <w:spacing w:after="120" w:line="276" w:lineRule="auto"/>
        <w:ind w:left="284" w:firstLine="0"/>
        <w:rPr>
          <w:rFonts w:ascii="Arial" w:eastAsia="Arial" w:hAnsi="Arial" w:cs="Arial"/>
          <w:sz w:val="20"/>
          <w:szCs w:val="20"/>
        </w:rPr>
      </w:pPr>
      <w:r>
        <w:rPr>
          <w:rFonts w:ascii="Arial" w:eastAsia="Arial" w:hAnsi="Arial" w:cs="Arial"/>
          <w:sz w:val="20"/>
          <w:szCs w:val="20"/>
        </w:rPr>
        <w:t xml:space="preserve">Identificador da Futura Contratação: </w:t>
      </w:r>
      <w:r>
        <w:rPr>
          <w:rFonts w:ascii="Arial" w:eastAsia="Arial" w:hAnsi="Arial" w:cs="Arial"/>
          <w:sz w:val="20"/>
          <w:szCs w:val="20"/>
        </w:rPr>
        <w:t>Serviços de Link de Internet campus Ibirubá</w:t>
      </w:r>
      <w:r>
        <w:rPr>
          <w:rFonts w:ascii="Arial" w:eastAsia="Arial" w:hAnsi="Arial" w:cs="Arial"/>
          <w:sz w:val="20"/>
          <w:szCs w:val="20"/>
        </w:rPr>
        <w:t>.</w:t>
      </w:r>
    </w:p>
    <w:p w14:paraId="05B08E89" w14:textId="77777777" w:rsidR="00D62F37" w:rsidRDefault="00D62F37">
      <w:pPr>
        <w:pBdr>
          <w:top w:val="nil"/>
          <w:left w:val="nil"/>
          <w:bottom w:val="nil"/>
          <w:right w:val="nil"/>
          <w:between w:val="nil"/>
        </w:pBdr>
        <w:spacing w:before="120" w:after="120" w:line="276" w:lineRule="auto"/>
        <w:jc w:val="both"/>
        <w:rPr>
          <w:rFonts w:ascii="Arial" w:eastAsia="Arial" w:hAnsi="Arial" w:cs="Arial"/>
          <w:i/>
          <w:strike/>
          <w:color w:val="FF0000"/>
          <w:sz w:val="20"/>
          <w:szCs w:val="20"/>
        </w:rPr>
      </w:pPr>
    </w:p>
    <w:p w14:paraId="6158C5B4"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 xml:space="preserve">O objeto da contratação também está alinhado com a Estratégia de Governo Digital </w:t>
      </w:r>
      <w:r>
        <w:rPr>
          <w:rFonts w:ascii="Arial" w:eastAsia="Arial" w:hAnsi="Arial" w:cs="Arial"/>
          <w:i/>
          <w:sz w:val="20"/>
          <w:szCs w:val="20"/>
        </w:rPr>
        <w:t>2024-2027</w:t>
      </w:r>
      <w:r>
        <w:rPr>
          <w:rFonts w:ascii="Arial" w:eastAsia="Arial" w:hAnsi="Arial" w:cs="Arial"/>
          <w:sz w:val="20"/>
          <w:szCs w:val="20"/>
        </w:rPr>
        <w:t xml:space="preserve"> e em consonância com o Plano Diretor de Tecnologia da Informação e Comunicação (PDTIC) </w:t>
      </w:r>
      <w:r>
        <w:rPr>
          <w:rFonts w:ascii="Arial" w:eastAsia="Arial" w:hAnsi="Arial" w:cs="Arial"/>
          <w:i/>
          <w:sz w:val="20"/>
          <w:szCs w:val="20"/>
        </w:rPr>
        <w:t>2024-2028</w:t>
      </w:r>
      <w:r>
        <w:rPr>
          <w:rFonts w:ascii="Arial" w:eastAsia="Arial" w:hAnsi="Arial" w:cs="Arial"/>
          <w:sz w:val="20"/>
          <w:szCs w:val="20"/>
        </w:rPr>
        <w:t xml:space="preserve"> do </w:t>
      </w:r>
      <w:r>
        <w:rPr>
          <w:rFonts w:ascii="Arial" w:eastAsia="Arial" w:hAnsi="Arial" w:cs="Arial"/>
          <w:i/>
          <w:sz w:val="20"/>
          <w:szCs w:val="20"/>
        </w:rPr>
        <w:t>INSTITUTO FEDERAL DE EDUCAÇÃO, CIÊNCIA E TECNOLOGIA DO RIO GRANDE</w:t>
      </w:r>
      <w:r>
        <w:rPr>
          <w:rFonts w:ascii="Arial" w:eastAsia="Arial" w:hAnsi="Arial" w:cs="Arial"/>
          <w:i/>
          <w:sz w:val="20"/>
          <w:szCs w:val="20"/>
        </w:rPr>
        <w:t xml:space="preserve"> DO SUL</w:t>
      </w:r>
      <w:r>
        <w:rPr>
          <w:rFonts w:ascii="Arial" w:eastAsia="Arial" w:hAnsi="Arial" w:cs="Arial"/>
          <w:sz w:val="20"/>
          <w:szCs w:val="20"/>
        </w:rPr>
        <w:t>, conforme demonstrado abaixo:</w:t>
      </w:r>
    </w:p>
    <w:p w14:paraId="25A5837A" w14:textId="77777777" w:rsidR="00D62F37" w:rsidRDefault="00D62F37">
      <w:pPr>
        <w:pBdr>
          <w:top w:val="nil"/>
          <w:left w:val="nil"/>
          <w:bottom w:val="nil"/>
          <w:right w:val="nil"/>
          <w:between w:val="nil"/>
        </w:pBdr>
        <w:ind w:left="792"/>
        <w:jc w:val="both"/>
        <w:rPr>
          <w:rFonts w:ascii="Arial" w:eastAsia="Arial" w:hAnsi="Arial" w:cs="Arial"/>
        </w:rPr>
      </w:pPr>
    </w:p>
    <w:tbl>
      <w:tblPr>
        <w:tblStyle w:val="a0"/>
        <w:tblW w:w="8374" w:type="dxa"/>
        <w:tblInd w:w="645" w:type="dxa"/>
        <w:tblLayout w:type="fixed"/>
        <w:tblLook w:val="0000" w:firstRow="0" w:lastRow="0" w:firstColumn="0" w:lastColumn="0" w:noHBand="0" w:noVBand="0"/>
      </w:tblPr>
      <w:tblGrid>
        <w:gridCol w:w="488"/>
        <w:gridCol w:w="7886"/>
      </w:tblGrid>
      <w:tr w:rsidR="00D62F37" w14:paraId="0F674A9C" w14:textId="77777777">
        <w:trPr>
          <w:trHeight w:val="313"/>
        </w:trPr>
        <w:tc>
          <w:tcPr>
            <w:tcW w:w="8374" w:type="dxa"/>
            <w:gridSpan w:val="2"/>
            <w:tcBorders>
              <w:top w:val="single" w:sz="4" w:space="0" w:color="000000"/>
              <w:left w:val="single" w:sz="4" w:space="0" w:color="000000"/>
              <w:bottom w:val="single" w:sz="4" w:space="0" w:color="000000"/>
              <w:right w:val="single" w:sz="4" w:space="0" w:color="000000"/>
            </w:tcBorders>
            <w:shd w:val="clear" w:color="auto" w:fill="DDDDDD"/>
            <w:tcMar>
              <w:top w:w="0" w:type="dxa"/>
              <w:left w:w="70" w:type="dxa"/>
              <w:bottom w:w="0" w:type="dxa"/>
              <w:right w:w="70" w:type="dxa"/>
            </w:tcMar>
            <w:vAlign w:val="center"/>
          </w:tcPr>
          <w:p w14:paraId="59B1A72D" w14:textId="77777777" w:rsidR="00D62F37" w:rsidRDefault="00114804">
            <w:pPr>
              <w:jc w:val="center"/>
              <w:rPr>
                <w:rFonts w:ascii="Arial" w:eastAsia="Arial" w:hAnsi="Arial" w:cs="Arial"/>
                <w:b/>
                <w:highlight w:val="white"/>
              </w:rPr>
            </w:pPr>
            <w:r>
              <w:rPr>
                <w:rFonts w:ascii="Arial" w:eastAsia="Arial" w:hAnsi="Arial" w:cs="Arial"/>
                <w:b/>
                <w:highlight w:val="white"/>
              </w:rPr>
              <w:t>ALINHAMENTO AOS PLANOS ESTRATÉGICOS</w:t>
            </w:r>
          </w:p>
        </w:tc>
      </w:tr>
      <w:tr w:rsidR="00D62F37" w14:paraId="36C20F9D" w14:textId="77777777">
        <w:trPr>
          <w:trHeight w:val="262"/>
        </w:trPr>
        <w:tc>
          <w:tcPr>
            <w:tcW w:w="488" w:type="dxa"/>
            <w:tcBorders>
              <w:left w:val="single" w:sz="4" w:space="0" w:color="000000"/>
              <w:bottom w:val="single" w:sz="4" w:space="0" w:color="000000"/>
              <w:right w:val="single" w:sz="4" w:space="0" w:color="000000"/>
            </w:tcBorders>
            <w:shd w:val="clear" w:color="auto" w:fill="EEEEEE"/>
            <w:tcMar>
              <w:top w:w="0" w:type="dxa"/>
              <w:left w:w="70" w:type="dxa"/>
              <w:bottom w:w="0" w:type="dxa"/>
              <w:right w:w="70" w:type="dxa"/>
            </w:tcMar>
            <w:vAlign w:val="center"/>
          </w:tcPr>
          <w:p w14:paraId="08A5ED4F" w14:textId="77777777" w:rsidR="00D62F37" w:rsidRDefault="00114804">
            <w:pPr>
              <w:jc w:val="center"/>
              <w:rPr>
                <w:rFonts w:ascii="Arial" w:eastAsia="Arial" w:hAnsi="Arial" w:cs="Arial"/>
                <w:b/>
                <w:highlight w:val="white"/>
              </w:rPr>
            </w:pPr>
            <w:r>
              <w:rPr>
                <w:rFonts w:ascii="Arial" w:eastAsia="Arial" w:hAnsi="Arial" w:cs="Arial"/>
                <w:b/>
                <w:highlight w:val="white"/>
              </w:rPr>
              <w:t>ID</w:t>
            </w:r>
          </w:p>
        </w:tc>
        <w:tc>
          <w:tcPr>
            <w:tcW w:w="7886" w:type="dxa"/>
            <w:tcBorders>
              <w:left w:val="single" w:sz="4" w:space="0" w:color="000000"/>
              <w:bottom w:val="single" w:sz="4" w:space="0" w:color="000000"/>
              <w:right w:val="single" w:sz="4" w:space="0" w:color="000000"/>
            </w:tcBorders>
            <w:shd w:val="clear" w:color="auto" w:fill="EEEEEE"/>
            <w:tcMar>
              <w:top w:w="0" w:type="dxa"/>
              <w:left w:w="70" w:type="dxa"/>
              <w:bottom w:w="0" w:type="dxa"/>
              <w:right w:w="70" w:type="dxa"/>
            </w:tcMar>
            <w:vAlign w:val="center"/>
          </w:tcPr>
          <w:p w14:paraId="608DB0BC" w14:textId="77777777" w:rsidR="00D62F37" w:rsidRDefault="00114804">
            <w:pPr>
              <w:jc w:val="center"/>
              <w:rPr>
                <w:rFonts w:ascii="Arial" w:eastAsia="Arial" w:hAnsi="Arial" w:cs="Arial"/>
                <w:b/>
                <w:highlight w:val="white"/>
              </w:rPr>
            </w:pPr>
            <w:r>
              <w:rPr>
                <w:rFonts w:ascii="Arial" w:eastAsia="Arial" w:hAnsi="Arial" w:cs="Arial"/>
                <w:b/>
                <w:highlight w:val="white"/>
              </w:rPr>
              <w:t>Objetivos Estratégicos</w:t>
            </w:r>
          </w:p>
        </w:tc>
      </w:tr>
      <w:tr w:rsidR="00D62F37" w14:paraId="5475E739" w14:textId="77777777">
        <w:trPr>
          <w:trHeight w:val="247"/>
        </w:trPr>
        <w:tc>
          <w:tcPr>
            <w:tcW w:w="488"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DDDC26A" w14:textId="77777777" w:rsidR="00D62F37" w:rsidRDefault="00114804">
            <w:pPr>
              <w:jc w:val="center"/>
              <w:rPr>
                <w:rFonts w:ascii="Arial" w:eastAsia="Arial" w:hAnsi="Arial" w:cs="Arial"/>
                <w:b/>
                <w:i/>
                <w:highlight w:val="white"/>
              </w:rPr>
            </w:pPr>
            <w:r>
              <w:rPr>
                <w:rFonts w:ascii="Arial" w:eastAsia="Arial" w:hAnsi="Arial" w:cs="Arial"/>
                <w:b/>
                <w:i/>
                <w:highlight w:val="white"/>
              </w:rPr>
              <w:t>P4</w:t>
            </w:r>
          </w:p>
        </w:tc>
        <w:tc>
          <w:tcPr>
            <w:tcW w:w="7886"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4F78482E" w14:textId="77777777" w:rsidR="00D62F37" w:rsidRDefault="00114804">
            <w:pPr>
              <w:tabs>
                <w:tab w:val="left" w:pos="2133"/>
              </w:tabs>
              <w:rPr>
                <w:rFonts w:ascii="Arial" w:eastAsia="Arial" w:hAnsi="Arial" w:cs="Arial"/>
                <w:i/>
                <w:highlight w:val="white"/>
              </w:rPr>
            </w:pPr>
            <w:r>
              <w:rPr>
                <w:rFonts w:ascii="Arial" w:eastAsia="Arial" w:hAnsi="Arial" w:cs="Arial"/>
                <w:i/>
                <w:highlight w:val="white"/>
              </w:rPr>
              <w:t>Aprimorar e fortalecer a tecnologia da informação e a comunicação institucional</w:t>
            </w:r>
          </w:p>
        </w:tc>
      </w:tr>
    </w:tbl>
    <w:p w14:paraId="4A345FBB" w14:textId="77777777" w:rsidR="00D62F37" w:rsidRDefault="00D62F37">
      <w:pPr>
        <w:pBdr>
          <w:top w:val="nil"/>
          <w:left w:val="nil"/>
          <w:bottom w:val="nil"/>
          <w:right w:val="nil"/>
          <w:between w:val="nil"/>
        </w:pBdr>
        <w:spacing w:line="276" w:lineRule="auto"/>
        <w:rPr>
          <w:rFonts w:ascii="Arial" w:eastAsia="Arial" w:hAnsi="Arial" w:cs="Arial"/>
        </w:rPr>
      </w:pPr>
    </w:p>
    <w:tbl>
      <w:tblPr>
        <w:tblStyle w:val="a1"/>
        <w:tblW w:w="9450" w:type="dxa"/>
        <w:tblInd w:w="180" w:type="dxa"/>
        <w:tblLayout w:type="fixed"/>
        <w:tblLook w:val="0000" w:firstRow="0" w:lastRow="0" w:firstColumn="0" w:lastColumn="0" w:noHBand="0" w:noVBand="0"/>
      </w:tblPr>
      <w:tblGrid>
        <w:gridCol w:w="1065"/>
        <w:gridCol w:w="8385"/>
      </w:tblGrid>
      <w:tr w:rsidR="00D62F37" w14:paraId="587EB62E" w14:textId="77777777">
        <w:trPr>
          <w:trHeight w:val="175"/>
        </w:trPr>
        <w:tc>
          <w:tcPr>
            <w:tcW w:w="9450" w:type="dxa"/>
            <w:gridSpan w:val="2"/>
            <w:tcBorders>
              <w:top w:val="single" w:sz="4" w:space="0" w:color="000000"/>
              <w:left w:val="single" w:sz="4" w:space="0" w:color="000000"/>
              <w:bottom w:val="single" w:sz="4" w:space="0" w:color="000000"/>
              <w:right w:val="single" w:sz="4" w:space="0" w:color="000000"/>
            </w:tcBorders>
            <w:shd w:val="clear" w:color="auto" w:fill="EEEEEE"/>
            <w:tcMar>
              <w:top w:w="0" w:type="dxa"/>
              <w:left w:w="70" w:type="dxa"/>
              <w:bottom w:w="0" w:type="dxa"/>
              <w:right w:w="70" w:type="dxa"/>
            </w:tcMar>
            <w:vAlign w:val="center"/>
          </w:tcPr>
          <w:p w14:paraId="56496399" w14:textId="77777777" w:rsidR="00D62F37" w:rsidRDefault="00114804">
            <w:pPr>
              <w:jc w:val="center"/>
              <w:rPr>
                <w:rFonts w:ascii="Arial" w:eastAsia="Arial" w:hAnsi="Arial" w:cs="Arial"/>
              </w:rPr>
            </w:pPr>
            <w:r>
              <w:rPr>
                <w:rFonts w:ascii="Arial" w:eastAsia="Arial" w:hAnsi="Arial" w:cs="Arial"/>
                <w:b/>
              </w:rPr>
              <w:t xml:space="preserve">ALINHAMENTO AO PDTIC </w:t>
            </w:r>
            <w:r>
              <w:rPr>
                <w:rFonts w:ascii="Arial" w:eastAsia="Arial" w:hAnsi="Arial" w:cs="Arial"/>
                <w:b/>
                <w:i/>
              </w:rPr>
              <w:t>2024-2028</w:t>
            </w:r>
          </w:p>
        </w:tc>
      </w:tr>
      <w:tr w:rsidR="00D62F37" w14:paraId="2DA4DD68" w14:textId="77777777">
        <w:trPr>
          <w:trHeight w:val="172"/>
        </w:trPr>
        <w:tc>
          <w:tcPr>
            <w:tcW w:w="1065" w:type="dxa"/>
            <w:tcBorders>
              <w:left w:val="single" w:sz="4" w:space="0" w:color="000000"/>
              <w:bottom w:val="single" w:sz="4" w:space="0" w:color="000000"/>
              <w:right w:val="single" w:sz="4" w:space="0" w:color="000000"/>
            </w:tcBorders>
            <w:shd w:val="clear" w:color="auto" w:fill="EEEEEE"/>
            <w:tcMar>
              <w:top w:w="0" w:type="dxa"/>
              <w:left w:w="70" w:type="dxa"/>
              <w:bottom w:w="0" w:type="dxa"/>
              <w:right w:w="70" w:type="dxa"/>
            </w:tcMar>
            <w:vAlign w:val="center"/>
          </w:tcPr>
          <w:p w14:paraId="101FD523" w14:textId="77777777" w:rsidR="00D62F37" w:rsidRDefault="00114804">
            <w:pPr>
              <w:jc w:val="center"/>
              <w:rPr>
                <w:rFonts w:ascii="Arial" w:eastAsia="Arial" w:hAnsi="Arial" w:cs="Arial"/>
                <w:b/>
              </w:rPr>
            </w:pPr>
            <w:r>
              <w:rPr>
                <w:rFonts w:ascii="Arial" w:eastAsia="Arial" w:hAnsi="Arial" w:cs="Arial"/>
                <w:b/>
              </w:rPr>
              <w:t>ID</w:t>
            </w:r>
          </w:p>
        </w:tc>
        <w:tc>
          <w:tcPr>
            <w:tcW w:w="8385" w:type="dxa"/>
            <w:tcBorders>
              <w:left w:val="single" w:sz="4" w:space="0" w:color="000000"/>
              <w:bottom w:val="single" w:sz="4" w:space="0" w:color="000000"/>
              <w:right w:val="single" w:sz="4" w:space="0" w:color="000000"/>
            </w:tcBorders>
            <w:shd w:val="clear" w:color="auto" w:fill="EEEEEE"/>
            <w:tcMar>
              <w:top w:w="0" w:type="dxa"/>
              <w:left w:w="70" w:type="dxa"/>
              <w:bottom w:w="0" w:type="dxa"/>
              <w:right w:w="70" w:type="dxa"/>
            </w:tcMar>
          </w:tcPr>
          <w:p w14:paraId="30404BB3" w14:textId="77777777" w:rsidR="00D62F37" w:rsidRDefault="00114804">
            <w:pPr>
              <w:jc w:val="center"/>
              <w:rPr>
                <w:rFonts w:ascii="Arial" w:eastAsia="Arial" w:hAnsi="Arial" w:cs="Arial"/>
                <w:b/>
              </w:rPr>
            </w:pPr>
            <w:r>
              <w:rPr>
                <w:rFonts w:ascii="Arial" w:eastAsia="Arial" w:hAnsi="Arial" w:cs="Arial"/>
                <w:b/>
              </w:rPr>
              <w:t xml:space="preserve"> Ação do PDTIC</w:t>
            </w:r>
          </w:p>
        </w:tc>
      </w:tr>
      <w:tr w:rsidR="00D62F37" w14:paraId="661CCFCD" w14:textId="77777777">
        <w:trPr>
          <w:trHeight w:val="119"/>
        </w:trPr>
        <w:tc>
          <w:tcPr>
            <w:tcW w:w="1065" w:type="dxa"/>
            <w:tcBorders>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8CEAE48" w14:textId="77777777" w:rsidR="00D62F37" w:rsidRDefault="00114804">
            <w:pPr>
              <w:jc w:val="center"/>
              <w:rPr>
                <w:rFonts w:ascii="Arial" w:eastAsia="Arial" w:hAnsi="Arial" w:cs="Arial"/>
                <w:b/>
                <w:i/>
              </w:rPr>
            </w:pPr>
            <w:r>
              <w:rPr>
                <w:rFonts w:ascii="Arial" w:eastAsia="Arial" w:hAnsi="Arial" w:cs="Arial"/>
                <w:b/>
                <w:i/>
              </w:rPr>
              <w:t>N 3029</w:t>
            </w:r>
          </w:p>
        </w:tc>
        <w:tc>
          <w:tcPr>
            <w:tcW w:w="8385" w:type="dxa"/>
            <w:tcBorders>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1C00CF48" w14:textId="77777777" w:rsidR="00D62F37" w:rsidRDefault="00114804">
            <w:pPr>
              <w:tabs>
                <w:tab w:val="left" w:pos="2133"/>
              </w:tabs>
              <w:rPr>
                <w:rFonts w:ascii="Arial" w:eastAsia="Arial" w:hAnsi="Arial" w:cs="Arial"/>
                <w:i/>
              </w:rPr>
            </w:pPr>
            <w:r>
              <w:rPr>
                <w:rFonts w:ascii="Arial" w:eastAsia="Arial" w:hAnsi="Arial" w:cs="Arial"/>
                <w:i/>
              </w:rPr>
              <w:t>Link de internet</w:t>
            </w:r>
          </w:p>
        </w:tc>
      </w:tr>
    </w:tbl>
    <w:p w14:paraId="7A5CD2B8" w14:textId="77777777" w:rsidR="00D62F37" w:rsidRDefault="00D62F37">
      <w:pPr>
        <w:pBdr>
          <w:top w:val="nil"/>
          <w:left w:val="nil"/>
          <w:bottom w:val="nil"/>
          <w:right w:val="nil"/>
          <w:between w:val="nil"/>
        </w:pBdr>
        <w:spacing w:before="120" w:after="120" w:line="276" w:lineRule="auto"/>
        <w:ind w:left="999"/>
        <w:jc w:val="both"/>
        <w:rPr>
          <w:rFonts w:ascii="Arial" w:eastAsia="Arial" w:hAnsi="Arial" w:cs="Arial"/>
          <w:color w:val="000000"/>
          <w:sz w:val="20"/>
          <w:szCs w:val="20"/>
        </w:rPr>
      </w:pPr>
    </w:p>
    <w:p w14:paraId="560CE896" w14:textId="77777777" w:rsidR="00D62F37" w:rsidRDefault="00114804">
      <w:pPr>
        <w:keepNext/>
        <w:keepLines/>
        <w:numPr>
          <w:ilvl w:val="0"/>
          <w:numId w:val="1"/>
        </w:numPr>
        <w:pBdr>
          <w:top w:val="nil"/>
          <w:left w:val="nil"/>
          <w:bottom w:val="nil"/>
          <w:right w:val="nil"/>
          <w:between w:val="nil"/>
        </w:pBdr>
        <w:tabs>
          <w:tab w:val="left" w:pos="-709"/>
        </w:tabs>
        <w:spacing w:before="240" w:after="120" w:line="276" w:lineRule="auto"/>
        <w:jc w:val="both"/>
      </w:pPr>
      <w:r>
        <w:rPr>
          <w:rFonts w:ascii="Arial" w:eastAsia="Arial" w:hAnsi="Arial" w:cs="Arial"/>
          <w:b/>
          <w:color w:val="000000"/>
          <w:sz w:val="20"/>
          <w:szCs w:val="20"/>
        </w:rPr>
        <w:lastRenderedPageBreak/>
        <w:t>REQUISITOS DA CONTRATAÇÃO</w:t>
      </w:r>
    </w:p>
    <w:p w14:paraId="48439331"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Requisitos de Negócio:</w:t>
      </w:r>
    </w:p>
    <w:p w14:paraId="63728A54"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presente contratação orienta-se pelos seguintes requisitos de negócio:</w:t>
      </w:r>
    </w:p>
    <w:p w14:paraId="3C3195F4"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sz w:val="20"/>
          <w:szCs w:val="20"/>
        </w:rPr>
        <w:t>Atendimento de serviço de internet para todo o público da unidade contratante</w:t>
      </w:r>
      <w:r>
        <w:rPr>
          <w:rFonts w:ascii="Arial" w:eastAsia="Arial" w:hAnsi="Arial" w:cs="Arial"/>
          <w:sz w:val="20"/>
          <w:szCs w:val="20"/>
        </w:rPr>
        <w:t>;</w:t>
      </w:r>
    </w:p>
    <w:p w14:paraId="55527886"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sz w:val="20"/>
          <w:szCs w:val="20"/>
        </w:rPr>
        <w:t>A conexão deve ser segura e de velocidade compatível com o fluxo de uso da unidade contratante</w:t>
      </w:r>
      <w:r>
        <w:rPr>
          <w:rFonts w:ascii="Arial" w:eastAsia="Arial" w:hAnsi="Arial" w:cs="Arial"/>
          <w:i/>
          <w:sz w:val="20"/>
          <w:szCs w:val="20"/>
        </w:rPr>
        <w:t>;</w:t>
      </w:r>
    </w:p>
    <w:p w14:paraId="57E68013"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sz w:val="20"/>
          <w:szCs w:val="20"/>
        </w:rPr>
        <w:t>A transmissão de dados deve ser o mais estável possível de modo a manter a continuidade do negócio.</w:t>
      </w:r>
    </w:p>
    <w:p w14:paraId="40CC391C" w14:textId="77777777" w:rsidR="00D62F37" w:rsidRDefault="00114804">
      <w:pPr>
        <w:widowControl w:val="0"/>
        <w:numPr>
          <w:ilvl w:val="2"/>
          <w:numId w:val="1"/>
        </w:numPr>
        <w:spacing w:line="276" w:lineRule="auto"/>
        <w:jc w:val="both"/>
        <w:rPr>
          <w:i/>
        </w:rPr>
      </w:pPr>
      <w:r>
        <w:rPr>
          <w:rFonts w:ascii="Arial" w:eastAsia="Arial" w:hAnsi="Arial" w:cs="Arial"/>
          <w:sz w:val="20"/>
          <w:szCs w:val="20"/>
        </w:rPr>
        <w:t>A solução deve prever a forma de instalação e disponibilizaç</w:t>
      </w:r>
      <w:r>
        <w:rPr>
          <w:rFonts w:ascii="Arial" w:eastAsia="Arial" w:hAnsi="Arial" w:cs="Arial"/>
          <w:sz w:val="20"/>
          <w:szCs w:val="20"/>
        </w:rPr>
        <w:t>ão do serviço de acordo com a estrutura física da contratante.</w:t>
      </w:r>
    </w:p>
    <w:p w14:paraId="75B7C9B3" w14:textId="77777777" w:rsidR="00D62F37" w:rsidRDefault="00114804">
      <w:pPr>
        <w:widowControl w:val="0"/>
        <w:numPr>
          <w:ilvl w:val="2"/>
          <w:numId w:val="1"/>
        </w:numPr>
        <w:spacing w:line="276" w:lineRule="auto"/>
        <w:jc w:val="both"/>
      </w:pPr>
      <w:r>
        <w:rPr>
          <w:rFonts w:ascii="Arial" w:eastAsia="Arial" w:hAnsi="Arial" w:cs="Arial"/>
          <w:sz w:val="20"/>
          <w:szCs w:val="20"/>
        </w:rPr>
        <w:t>A solução deve considerar o risco de perda de sinal do serviço de internet.</w:t>
      </w:r>
    </w:p>
    <w:p w14:paraId="26C1D2C3" w14:textId="77777777" w:rsidR="00D62F37" w:rsidRDefault="00114804">
      <w:pPr>
        <w:widowControl w:val="0"/>
        <w:numPr>
          <w:ilvl w:val="2"/>
          <w:numId w:val="1"/>
        </w:numPr>
        <w:spacing w:line="276" w:lineRule="auto"/>
        <w:jc w:val="both"/>
      </w:pPr>
      <w:r>
        <w:rPr>
          <w:rFonts w:ascii="Arial" w:eastAsia="Arial" w:hAnsi="Arial" w:cs="Arial"/>
          <w:sz w:val="20"/>
          <w:szCs w:val="20"/>
        </w:rPr>
        <w:t>A velocidade contratada deve ser devidamente disponibilizada, devendo ser observada e controlada rotineiramente.</w:t>
      </w:r>
    </w:p>
    <w:p w14:paraId="74BF4AB1" w14:textId="77777777" w:rsidR="00D62F37" w:rsidRDefault="00114804">
      <w:pPr>
        <w:widowControl w:val="0"/>
        <w:numPr>
          <w:ilvl w:val="2"/>
          <w:numId w:val="1"/>
        </w:numPr>
        <w:spacing w:line="276" w:lineRule="auto"/>
        <w:jc w:val="both"/>
      </w:pPr>
      <w:r>
        <w:rPr>
          <w:rFonts w:ascii="Arial" w:eastAsia="Arial" w:hAnsi="Arial" w:cs="Arial"/>
          <w:sz w:val="20"/>
          <w:szCs w:val="20"/>
        </w:rPr>
        <w:t>Os m</w:t>
      </w:r>
      <w:r>
        <w:rPr>
          <w:rFonts w:ascii="Arial" w:eastAsia="Arial" w:hAnsi="Arial" w:cs="Arial"/>
          <w:sz w:val="20"/>
          <w:szCs w:val="20"/>
        </w:rPr>
        <w:t>ateriais da instalação deverão ser fornecidos pela Contratada.</w:t>
      </w:r>
    </w:p>
    <w:p w14:paraId="69A16FEB" w14:textId="77777777" w:rsidR="00D62F37" w:rsidRDefault="00114804">
      <w:pPr>
        <w:widowControl w:val="0"/>
        <w:numPr>
          <w:ilvl w:val="2"/>
          <w:numId w:val="1"/>
        </w:numPr>
        <w:spacing w:line="276" w:lineRule="auto"/>
        <w:jc w:val="both"/>
      </w:pPr>
      <w:r>
        <w:rPr>
          <w:rFonts w:ascii="Arial" w:eastAsia="Arial" w:hAnsi="Arial" w:cs="Arial"/>
          <w:sz w:val="20"/>
          <w:szCs w:val="20"/>
        </w:rPr>
        <w:t>Em casos de suporte e manutenção, deverá haver canal de comunicação para abertura de chamados disponível 24 horas 7 dias por semana (24 x 7).</w:t>
      </w:r>
    </w:p>
    <w:p w14:paraId="714F81E1"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color w:val="000000"/>
          <w:sz w:val="20"/>
          <w:szCs w:val="20"/>
        </w:rPr>
      </w:pPr>
      <w:r>
        <w:rPr>
          <w:rFonts w:ascii="Arial" w:eastAsia="Arial" w:hAnsi="Arial" w:cs="Arial"/>
          <w:b/>
          <w:color w:val="000000"/>
          <w:sz w:val="20"/>
          <w:szCs w:val="20"/>
        </w:rPr>
        <w:t>Requisitos de Capacitação</w:t>
      </w:r>
    </w:p>
    <w:p w14:paraId="12368A14"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Não faz parte do escopo da contratação a realização de capacitação técnica na utilização dos recursos relacionados ao objeto da presente contratação;</w:t>
      </w:r>
    </w:p>
    <w:p w14:paraId="515BE620"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color w:val="000000"/>
          <w:sz w:val="20"/>
          <w:szCs w:val="20"/>
        </w:rPr>
      </w:pPr>
      <w:r>
        <w:rPr>
          <w:rFonts w:ascii="Arial" w:eastAsia="Arial" w:hAnsi="Arial" w:cs="Arial"/>
          <w:b/>
          <w:color w:val="000000"/>
          <w:sz w:val="20"/>
          <w:szCs w:val="20"/>
        </w:rPr>
        <w:t>Requisitos Legais</w:t>
      </w:r>
    </w:p>
    <w:p w14:paraId="4D9830B1"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O presente processo de contratação deve estar aderente à Constituição Federal, à Lei nº 14.133/2021, à Instrução Normativa SGD/ME nº 94, de 2022, Instrução Normativa SEGES/ME nº 65, de 7 de julho de 2021, Lei nº 13.709, de 14 de agosto de 2018 (Lei Geral d</w:t>
      </w:r>
      <w:r>
        <w:rPr>
          <w:rFonts w:ascii="Arial" w:eastAsia="Arial" w:hAnsi="Arial" w:cs="Arial"/>
          <w:color w:val="000000"/>
          <w:sz w:val="20"/>
          <w:szCs w:val="20"/>
        </w:rPr>
        <w:t>e Proteção de Dados Pessoais – LGPD), Decreto 10.024, de 20 de setembro de 2019, e a outras legislações aplicáveis;</w:t>
      </w:r>
    </w:p>
    <w:p w14:paraId="6290D2B0"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color w:val="000000"/>
          <w:sz w:val="20"/>
          <w:szCs w:val="20"/>
        </w:rPr>
      </w:pPr>
      <w:r>
        <w:rPr>
          <w:rFonts w:ascii="Arial" w:eastAsia="Arial" w:hAnsi="Arial" w:cs="Arial"/>
          <w:b/>
          <w:color w:val="000000"/>
          <w:sz w:val="20"/>
          <w:szCs w:val="20"/>
        </w:rPr>
        <w:t>Requisitos de Manutenção</w:t>
      </w:r>
    </w:p>
    <w:p w14:paraId="68EF825A"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 xml:space="preserve">Devido às </w:t>
      </w:r>
      <w:r>
        <w:rPr>
          <w:rFonts w:ascii="Arial" w:eastAsia="Arial" w:hAnsi="Arial" w:cs="Arial"/>
          <w:sz w:val="20"/>
          <w:szCs w:val="20"/>
        </w:rPr>
        <w:t>características da solução, há necessidade de realização de manutenções preventivas e corretivas pela Con</w:t>
      </w:r>
      <w:r>
        <w:rPr>
          <w:rFonts w:ascii="Arial" w:eastAsia="Arial" w:hAnsi="Arial" w:cs="Arial"/>
          <w:sz w:val="20"/>
          <w:szCs w:val="20"/>
        </w:rPr>
        <w:t xml:space="preserve">tratada, visando à manutenção da disponibilidade da solução e ao aperfeiçoamento de suas funcionalidades, </w:t>
      </w:r>
      <w:r>
        <w:rPr>
          <w:rFonts w:ascii="Arial" w:eastAsia="Arial" w:hAnsi="Arial" w:cs="Arial"/>
          <w:sz w:val="20"/>
          <w:szCs w:val="20"/>
          <w:highlight w:val="white"/>
        </w:rPr>
        <w:t>somente se o serviço apresentar falhas, lentidão ou problemas físicos em equipamentos e/ou fibra óptica</w:t>
      </w:r>
      <w:r>
        <w:rPr>
          <w:rFonts w:ascii="Arial" w:eastAsia="Arial" w:hAnsi="Arial" w:cs="Arial"/>
          <w:sz w:val="20"/>
          <w:szCs w:val="20"/>
        </w:rPr>
        <w:t>;</w:t>
      </w:r>
    </w:p>
    <w:p w14:paraId="47689D6C"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color w:val="000000"/>
          <w:sz w:val="20"/>
          <w:szCs w:val="20"/>
        </w:rPr>
      </w:pPr>
      <w:r>
        <w:rPr>
          <w:rFonts w:ascii="Arial" w:eastAsia="Arial" w:hAnsi="Arial" w:cs="Arial"/>
          <w:b/>
          <w:color w:val="000000"/>
          <w:sz w:val="20"/>
          <w:szCs w:val="20"/>
        </w:rPr>
        <w:t>Requisitos Temporais</w:t>
      </w:r>
    </w:p>
    <w:p w14:paraId="136C1333"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Os serviços deve</w:t>
      </w:r>
      <w:r>
        <w:rPr>
          <w:rFonts w:ascii="Arial" w:eastAsia="Arial" w:hAnsi="Arial" w:cs="Arial"/>
          <w:sz w:val="20"/>
          <w:szCs w:val="20"/>
        </w:rPr>
        <w:t>m ser in</w:t>
      </w:r>
      <w:r>
        <w:rPr>
          <w:rFonts w:ascii="Arial" w:eastAsia="Arial" w:hAnsi="Arial" w:cs="Arial"/>
          <w:sz w:val="20"/>
          <w:szCs w:val="20"/>
        </w:rPr>
        <w:t xml:space="preserve">iciados no prazo máximo de </w:t>
      </w:r>
      <w:r>
        <w:rPr>
          <w:rFonts w:ascii="Arial" w:eastAsia="Arial" w:hAnsi="Arial" w:cs="Arial"/>
          <w:sz w:val="20"/>
          <w:szCs w:val="20"/>
        </w:rPr>
        <w:t>10 (dez)</w:t>
      </w:r>
      <w:r>
        <w:rPr>
          <w:rFonts w:ascii="Arial" w:eastAsia="Arial" w:hAnsi="Arial" w:cs="Arial"/>
          <w:sz w:val="20"/>
          <w:szCs w:val="20"/>
        </w:rPr>
        <w:t xml:space="preserve"> dias corridos, a contar do recebimento da abertura da Ordem de Serviço (OS), emitida pela Contratante, podendo ser prorrogada, excepcionalmente, por até igual período, desde que justificado previamente pelo Contratado e </w:t>
      </w:r>
      <w:r>
        <w:rPr>
          <w:rFonts w:ascii="Arial" w:eastAsia="Arial" w:hAnsi="Arial" w:cs="Arial"/>
          <w:sz w:val="20"/>
          <w:szCs w:val="20"/>
        </w:rPr>
        <w:t>autorizado pela Contratante</w:t>
      </w:r>
      <w:r>
        <w:rPr>
          <w:rFonts w:ascii="Arial" w:eastAsia="Arial" w:hAnsi="Arial" w:cs="Arial"/>
          <w:sz w:val="20"/>
          <w:szCs w:val="20"/>
        </w:rPr>
        <w:t>.</w:t>
      </w:r>
    </w:p>
    <w:p w14:paraId="342952A3"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Na contagem dos prazos estabelecidos neste Termo de Referência, quando não expressados de forma contrária, excluir-se-á o dia do início e incluir-se-á o do vencimento.</w:t>
      </w:r>
    </w:p>
    <w:p w14:paraId="3053F927"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Todos os prazos citados, quando não expresso de forma contr</w:t>
      </w:r>
      <w:r>
        <w:rPr>
          <w:rFonts w:ascii="Arial" w:eastAsia="Arial" w:hAnsi="Arial" w:cs="Arial"/>
          <w:color w:val="000000"/>
          <w:sz w:val="20"/>
          <w:szCs w:val="20"/>
        </w:rPr>
        <w:t>ária, serão considerados em dias corridos. Ressaltando que serão contados os dias a partir da hora em que ocorrer o incidente até a mesma hora do último dia, conforme os prazos.</w:t>
      </w:r>
    </w:p>
    <w:p w14:paraId="208A2104"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lastRenderedPageBreak/>
        <w:t>Na execução dos serviços, deverão ser observados os seguintes prazos:</w:t>
      </w:r>
    </w:p>
    <w:p w14:paraId="6E2153BE"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rPr>
      </w:pPr>
      <w:r>
        <w:rPr>
          <w:rFonts w:ascii="Arial" w:eastAsia="Arial" w:hAnsi="Arial" w:cs="Arial"/>
          <w:sz w:val="20"/>
          <w:szCs w:val="20"/>
        </w:rPr>
        <w:t>A central de atendimento deverá receber as solicitações 24h por dia e 7 dias por semana (24 x 7) e os chamados deverão ser abertos via telefone 0800, ou e-mail, ou aplicativo de mensagens.</w:t>
      </w:r>
    </w:p>
    <w:p w14:paraId="0F969032" w14:textId="77777777" w:rsidR="00D62F37" w:rsidRDefault="00114804">
      <w:pPr>
        <w:widowControl w:val="0"/>
        <w:numPr>
          <w:ilvl w:val="1"/>
          <w:numId w:val="1"/>
        </w:numPr>
        <w:tabs>
          <w:tab w:val="center" w:pos="4819"/>
          <w:tab w:val="right" w:pos="9638"/>
        </w:tabs>
        <w:jc w:val="both"/>
        <w:rPr>
          <w:rFonts w:ascii="Arial" w:eastAsia="Arial" w:hAnsi="Arial" w:cs="Arial"/>
        </w:rPr>
      </w:pPr>
      <w:r>
        <w:rPr>
          <w:rFonts w:ascii="Arial" w:eastAsia="Arial" w:hAnsi="Arial" w:cs="Arial"/>
          <w:sz w:val="20"/>
          <w:szCs w:val="20"/>
        </w:rPr>
        <w:t xml:space="preserve">O atendimento deverá ser realizado em até 12 horas pela contratada </w:t>
      </w:r>
      <w:r>
        <w:rPr>
          <w:rFonts w:ascii="Arial" w:eastAsia="Arial" w:hAnsi="Arial" w:cs="Arial"/>
          <w:sz w:val="20"/>
          <w:szCs w:val="20"/>
        </w:rPr>
        <w:t>e a substituição de equipamentos, caso necessário, em até 24 horas.</w:t>
      </w:r>
    </w:p>
    <w:p w14:paraId="1E267E7F" w14:textId="77777777" w:rsidR="00D62F37" w:rsidRDefault="00114804">
      <w:pPr>
        <w:widowControl w:val="0"/>
        <w:numPr>
          <w:ilvl w:val="1"/>
          <w:numId w:val="1"/>
        </w:numPr>
        <w:tabs>
          <w:tab w:val="center" w:pos="4819"/>
          <w:tab w:val="right" w:pos="9638"/>
        </w:tabs>
        <w:jc w:val="both"/>
        <w:rPr>
          <w:rFonts w:ascii="Arial" w:eastAsia="Arial" w:hAnsi="Arial" w:cs="Arial"/>
        </w:rPr>
      </w:pPr>
      <w:r>
        <w:rPr>
          <w:rFonts w:ascii="Arial" w:eastAsia="Arial" w:hAnsi="Arial" w:cs="Arial"/>
          <w:sz w:val="20"/>
          <w:szCs w:val="20"/>
        </w:rPr>
        <w:t>Realizar o encerramento da solicitação e dar por concluído o chamado somente após o aceite de um servidor da Coordenação de TI do Campus Ibirubá.</w:t>
      </w:r>
    </w:p>
    <w:p w14:paraId="45CF87AE"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strike/>
          <w:color w:val="000000"/>
          <w:sz w:val="20"/>
          <w:szCs w:val="20"/>
        </w:rPr>
      </w:pPr>
      <w:r>
        <w:rPr>
          <w:rFonts w:ascii="Arial" w:eastAsia="Arial" w:hAnsi="Arial" w:cs="Arial"/>
          <w:b/>
          <w:color w:val="000000"/>
          <w:sz w:val="20"/>
          <w:szCs w:val="20"/>
        </w:rPr>
        <w:t>Requisitos de Segurança e Privacidade</w:t>
      </w:r>
    </w:p>
    <w:p w14:paraId="45950B3B"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sz w:val="20"/>
          <w:szCs w:val="20"/>
        </w:rPr>
        <w:t>O presente processo de contratação deve estar aderente à Constituição Federal, à Lei nº 14.133/2021, à Instrução Normativa SGD/ME nº 94, de 2022, Instrução Normativa SEGES/ME nº 65, de 7 de julho de 2021, Lei nº 13.709</w:t>
      </w:r>
      <w:r>
        <w:rPr>
          <w:rFonts w:ascii="Arial" w:eastAsia="Arial" w:hAnsi="Arial" w:cs="Arial"/>
          <w:sz w:val="20"/>
          <w:szCs w:val="20"/>
        </w:rPr>
        <w:t>, de 14 de agosto de 2018 (Lei Geral de Proteção de Dados Pessoais – LGPD), Decreto 10.024, de 20 de setembro de 2019, e a outras legislações aplicáveis.</w:t>
      </w:r>
    </w:p>
    <w:p w14:paraId="01DCBB4B"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color w:val="000000"/>
          <w:sz w:val="20"/>
          <w:szCs w:val="20"/>
        </w:rPr>
      </w:pPr>
      <w:r>
        <w:rPr>
          <w:rFonts w:ascii="Arial" w:eastAsia="Arial" w:hAnsi="Arial" w:cs="Arial"/>
          <w:b/>
          <w:color w:val="000000"/>
          <w:sz w:val="20"/>
          <w:szCs w:val="20"/>
        </w:rPr>
        <w:t>Requisitos Sociais, Ambientais e Culturais</w:t>
      </w:r>
    </w:p>
    <w:p w14:paraId="0C09CC18"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Os serviços devem estar aderentes às seguintes diretrizes s</w:t>
      </w:r>
      <w:r>
        <w:rPr>
          <w:rFonts w:ascii="Arial" w:eastAsia="Arial" w:hAnsi="Arial" w:cs="Arial"/>
          <w:color w:val="000000"/>
          <w:sz w:val="20"/>
          <w:szCs w:val="20"/>
        </w:rPr>
        <w:t>ociais, ambientais e culturais:</w:t>
      </w:r>
    </w:p>
    <w:p w14:paraId="6EE76FC3" w14:textId="77777777" w:rsidR="00D62F37" w:rsidRDefault="00114804">
      <w:pPr>
        <w:widowControl w:val="0"/>
        <w:numPr>
          <w:ilvl w:val="1"/>
          <w:numId w:val="1"/>
        </w:numPr>
        <w:spacing w:line="276" w:lineRule="auto"/>
        <w:jc w:val="both"/>
        <w:rPr>
          <w:rFonts w:ascii="Arial" w:eastAsia="Arial" w:hAnsi="Arial" w:cs="Arial"/>
        </w:rPr>
      </w:pPr>
      <w:r>
        <w:rPr>
          <w:rFonts w:ascii="Arial" w:eastAsia="Arial" w:hAnsi="Arial" w:cs="Arial"/>
          <w:sz w:val="20"/>
          <w:szCs w:val="20"/>
        </w:rPr>
        <w:t>A contratada deverá contribuir para a promoção do desenvolvimento nacional sustentável no cumprimento de diretrizes e critérios de sustentabilidade ambiental, incluídos requisitos de baixo consumo de energia e de outros recu</w:t>
      </w:r>
      <w:r>
        <w:rPr>
          <w:rFonts w:ascii="Arial" w:eastAsia="Arial" w:hAnsi="Arial" w:cs="Arial"/>
          <w:sz w:val="20"/>
          <w:szCs w:val="20"/>
        </w:rPr>
        <w:t>rsos, bem como logística reversa para desfazimento e reciclagem de bens e refugos, quando aplicável, conforme disposto no inciso XII, parágrafo 1º, artigo 18, da Lei nº 14.133/2021.</w:t>
      </w:r>
    </w:p>
    <w:p w14:paraId="3FB781C5"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color w:val="000000"/>
          <w:sz w:val="20"/>
          <w:szCs w:val="20"/>
        </w:rPr>
      </w:pPr>
      <w:r>
        <w:rPr>
          <w:rFonts w:ascii="Arial" w:eastAsia="Arial" w:hAnsi="Arial" w:cs="Arial"/>
          <w:b/>
          <w:color w:val="000000"/>
          <w:sz w:val="20"/>
          <w:szCs w:val="20"/>
        </w:rPr>
        <w:t>Requisitos da Arquitetura Tecnológica</w:t>
      </w:r>
    </w:p>
    <w:p w14:paraId="7DFA2985"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Os serviços deverão ser executados o</w:t>
      </w:r>
      <w:r>
        <w:rPr>
          <w:rFonts w:ascii="Arial" w:eastAsia="Arial" w:hAnsi="Arial" w:cs="Arial"/>
          <w:color w:val="000000"/>
          <w:sz w:val="20"/>
          <w:szCs w:val="20"/>
        </w:rPr>
        <w:t>bservando-se as diretrizes de arquitetura tecnológica estabelecidas pela área técnica da Contratante.</w:t>
      </w:r>
    </w:p>
    <w:p w14:paraId="0117D40C"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adoção de tecnologia ou arquitetura diversa deverá ser autorizada previamente pela Contratante. Caso não seja autorizada, é vedado à Contratada adotar arquitetura, componentes ou tecnologias diferentes daquelas definidas pela Contratante.</w:t>
      </w:r>
    </w:p>
    <w:p w14:paraId="0A2E863D"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i/>
          <w:color w:val="000000"/>
          <w:sz w:val="20"/>
          <w:szCs w:val="20"/>
        </w:rPr>
      </w:pPr>
      <w:r>
        <w:rPr>
          <w:rFonts w:ascii="Arial" w:eastAsia="Arial" w:hAnsi="Arial" w:cs="Arial"/>
          <w:b/>
          <w:color w:val="000000"/>
          <w:sz w:val="20"/>
          <w:szCs w:val="20"/>
        </w:rPr>
        <w:t>Requisitos de G</w:t>
      </w:r>
      <w:r>
        <w:rPr>
          <w:rFonts w:ascii="Arial" w:eastAsia="Arial" w:hAnsi="Arial" w:cs="Arial"/>
          <w:b/>
          <w:color w:val="000000"/>
          <w:sz w:val="20"/>
          <w:szCs w:val="20"/>
        </w:rPr>
        <w:t xml:space="preserve">arantia e Manutenção </w:t>
      </w:r>
    </w:p>
    <w:p w14:paraId="35E07647"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sz w:val="20"/>
          <w:szCs w:val="20"/>
        </w:rPr>
        <w:t>O prazo de garantia é aquele estabelecido na Lei nº 8.078, de 11 de setembro de 1990 (Código de Defesa do Consumidor), e suas atualizações.</w:t>
      </w:r>
    </w:p>
    <w:p w14:paraId="7F2655E5"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sz w:val="20"/>
          <w:szCs w:val="20"/>
        </w:rPr>
      </w:pPr>
      <w:r>
        <w:rPr>
          <w:rFonts w:ascii="Arial" w:eastAsia="Arial" w:hAnsi="Arial" w:cs="Arial"/>
          <w:b/>
          <w:sz w:val="20"/>
          <w:szCs w:val="20"/>
        </w:rPr>
        <w:t>Requisitos de Experiência Profissional</w:t>
      </w:r>
    </w:p>
    <w:p w14:paraId="7CBA4173"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sz w:val="20"/>
          <w:szCs w:val="20"/>
        </w:rPr>
        <w:t>Os serviços de fornecimento, instalação e assistência t</w:t>
      </w:r>
      <w:r>
        <w:rPr>
          <w:rFonts w:ascii="Arial" w:eastAsia="Arial" w:hAnsi="Arial" w:cs="Arial"/>
          <w:sz w:val="20"/>
          <w:szCs w:val="20"/>
        </w:rPr>
        <w:t>écnica deverão ser prestados por técnicos devidamente capacitados nos produtos e s</w:t>
      </w:r>
      <w:r>
        <w:rPr>
          <w:rFonts w:ascii="Arial" w:eastAsia="Arial" w:hAnsi="Arial" w:cs="Arial"/>
          <w:sz w:val="20"/>
          <w:szCs w:val="20"/>
        </w:rPr>
        <w:t>erviços</w:t>
      </w:r>
      <w:r>
        <w:rPr>
          <w:rFonts w:ascii="Arial" w:eastAsia="Arial" w:hAnsi="Arial" w:cs="Arial"/>
          <w:sz w:val="20"/>
          <w:szCs w:val="20"/>
        </w:rPr>
        <w:t xml:space="preserve"> em questão, bem como com todos os recursos ferramentais necessários para a prestação dos serviços;</w:t>
      </w:r>
    </w:p>
    <w:p w14:paraId="106DE45F"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strike/>
          <w:sz w:val="20"/>
          <w:szCs w:val="20"/>
          <w:u w:val="single"/>
        </w:rPr>
      </w:pPr>
      <w:r>
        <w:rPr>
          <w:rFonts w:ascii="Arial" w:eastAsia="Arial" w:hAnsi="Arial" w:cs="Arial"/>
          <w:b/>
          <w:sz w:val="20"/>
          <w:szCs w:val="20"/>
        </w:rPr>
        <w:t>Requisitos de Formação da Equipe</w:t>
      </w:r>
    </w:p>
    <w:p w14:paraId="62DED345"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sz w:val="20"/>
          <w:szCs w:val="20"/>
        </w:rPr>
        <w:t>Não serão exigidos requisitos de formação da equipe para a presente a contratação.</w:t>
      </w:r>
    </w:p>
    <w:p w14:paraId="195BF834"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color w:val="000000"/>
          <w:sz w:val="20"/>
          <w:szCs w:val="20"/>
        </w:rPr>
      </w:pPr>
      <w:r>
        <w:rPr>
          <w:rFonts w:ascii="Arial" w:eastAsia="Arial" w:hAnsi="Arial" w:cs="Arial"/>
          <w:b/>
          <w:color w:val="000000"/>
          <w:sz w:val="20"/>
          <w:szCs w:val="20"/>
        </w:rPr>
        <w:t>Requisitos de Metodologia de Trabalho</w:t>
      </w:r>
    </w:p>
    <w:p w14:paraId="784D9936"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A execução dos serviços está condicionada ao recebimento pelo Contratado de Ordem de Serviço (OS) emitida pela Contratante.</w:t>
      </w:r>
    </w:p>
    <w:p w14:paraId="53FBA0E8"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lastRenderedPageBreak/>
        <w:t>A OS indicará o serviço, a quantidade e a localidade na qual os deverão ser prestados.</w:t>
      </w:r>
    </w:p>
    <w:p w14:paraId="7758BA85"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O Contratado deve fornecer meios para contato</w:t>
      </w:r>
      <w:r>
        <w:rPr>
          <w:rFonts w:ascii="Arial" w:eastAsia="Arial" w:hAnsi="Arial" w:cs="Arial"/>
          <w:color w:val="000000"/>
          <w:sz w:val="20"/>
          <w:szCs w:val="20"/>
        </w:rPr>
        <w:t xml:space="preserve"> e registro de ocorrências da seguinte forma: </w:t>
      </w:r>
      <w:r>
        <w:rPr>
          <w:rFonts w:ascii="Arial" w:eastAsia="Arial" w:hAnsi="Arial" w:cs="Arial"/>
          <w:sz w:val="20"/>
          <w:szCs w:val="20"/>
        </w:rPr>
        <w:t>A central de atendimento deverá receber as solicitações 24h por dia e 7 dias por semana (24 x 7) e os chamados deverão ser abertos via telefone 0800, ou e-mail, ou aplicativo de mensagens.</w:t>
      </w:r>
    </w:p>
    <w:p w14:paraId="21F88325"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A execução do serviço</w:t>
      </w:r>
      <w:r>
        <w:rPr>
          <w:rFonts w:ascii="Arial" w:eastAsia="Arial" w:hAnsi="Arial" w:cs="Arial"/>
          <w:color w:val="000000"/>
          <w:sz w:val="20"/>
          <w:szCs w:val="20"/>
        </w:rPr>
        <w:t xml:space="preserve"> dever ser acompanhada pelo Contratado, que dará ciência de eventuais acontecimentos à Contratante.</w:t>
      </w:r>
    </w:p>
    <w:p w14:paraId="55CBDB9C"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strike/>
          <w:color w:val="FF0000"/>
          <w:sz w:val="20"/>
          <w:szCs w:val="20"/>
          <w:u w:val="single"/>
        </w:rPr>
      </w:pPr>
      <w:r>
        <w:rPr>
          <w:rFonts w:ascii="Arial" w:eastAsia="Arial" w:hAnsi="Arial" w:cs="Arial"/>
          <w:b/>
          <w:color w:val="000000"/>
          <w:sz w:val="20"/>
          <w:szCs w:val="20"/>
        </w:rPr>
        <w:t>Vistoria</w:t>
      </w:r>
    </w:p>
    <w:p w14:paraId="08B4E038"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A avaliação prévia do local de execução dos serviços é imprescindível para o conhecimento pleno das condições e peculiaridades do objeto a ser cont</w:t>
      </w:r>
      <w:r>
        <w:rPr>
          <w:rFonts w:ascii="Arial" w:eastAsia="Arial" w:hAnsi="Arial" w:cs="Arial"/>
          <w:sz w:val="20"/>
          <w:szCs w:val="20"/>
        </w:rPr>
        <w:t xml:space="preserve">ratado, sendo assegurado ao interessado o direito de realização de vistoria prévia, acompanhado por servidor designado para esse fim, de segunda à sexta-feira, das </w:t>
      </w:r>
      <w:r>
        <w:rPr>
          <w:rFonts w:ascii="Arial" w:eastAsia="Arial" w:hAnsi="Arial" w:cs="Arial"/>
          <w:sz w:val="20"/>
          <w:szCs w:val="20"/>
        </w:rPr>
        <w:t>08:00 horas às 11:00 horas</w:t>
      </w:r>
      <w:r>
        <w:rPr>
          <w:rFonts w:ascii="Arial" w:eastAsia="Arial" w:hAnsi="Arial" w:cs="Arial"/>
          <w:sz w:val="20"/>
          <w:szCs w:val="20"/>
        </w:rPr>
        <w:t>.</w:t>
      </w:r>
    </w:p>
    <w:p w14:paraId="1E0A7114"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Serão disponibilizados data e horário diferentes aos interessado</w:t>
      </w:r>
      <w:r>
        <w:rPr>
          <w:rFonts w:ascii="Arial" w:eastAsia="Arial" w:hAnsi="Arial" w:cs="Arial"/>
          <w:sz w:val="20"/>
          <w:szCs w:val="20"/>
        </w:rPr>
        <w:t>s em realizar a vistoria prévia. </w:t>
      </w:r>
    </w:p>
    <w:p w14:paraId="11A0D09A"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 xml:space="preserve">Para a vistoria, o representante legal da empresa ou responsável técnico deverá estar devidamente identificado, apresentando documento de identidade civil e documento expedido pela empresa comprovando sua habilitação para </w:t>
      </w:r>
      <w:r>
        <w:rPr>
          <w:rFonts w:ascii="Arial" w:eastAsia="Arial" w:hAnsi="Arial" w:cs="Arial"/>
          <w:sz w:val="20"/>
          <w:szCs w:val="20"/>
        </w:rPr>
        <w:t>a realização da vistoria.</w:t>
      </w:r>
    </w:p>
    <w:p w14:paraId="616F7098"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Caso o licitante opte por não realizar a vistoria, deverá prestar declaração formal assinada pelo responsável técnico do licitante acerca do conhecimento pleno das condições e peculiaridades da contratação.</w:t>
      </w:r>
    </w:p>
    <w:p w14:paraId="0B3F7075"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A não realização da vis</w:t>
      </w:r>
      <w:r>
        <w:rPr>
          <w:rFonts w:ascii="Arial" w:eastAsia="Arial" w:hAnsi="Arial" w:cs="Arial"/>
          <w:sz w:val="20"/>
          <w:szCs w:val="20"/>
        </w:rPr>
        <w:t>toria não poderá embasar posteriores alegações de desconhecimento das instalações, dúvidas ou esquecimentos de quaisquer detalhes dos locais da prestação dos serviços, devendo o contratado assumir os ônus dos serviços decorrentes.</w:t>
      </w:r>
    </w:p>
    <w:p w14:paraId="1BC9E7F0"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color w:val="000000"/>
          <w:sz w:val="20"/>
          <w:szCs w:val="20"/>
        </w:rPr>
      </w:pPr>
      <w:r>
        <w:rPr>
          <w:rFonts w:ascii="Arial" w:eastAsia="Arial" w:hAnsi="Arial" w:cs="Arial"/>
          <w:b/>
          <w:color w:val="000000"/>
          <w:sz w:val="20"/>
          <w:szCs w:val="20"/>
        </w:rPr>
        <w:t>Sustentabilidade</w:t>
      </w:r>
    </w:p>
    <w:p w14:paraId="2BD394D7"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Além dos critérios de sustentabilidade eventualmente inseridos na descrição do objeto, devem ser atendidos os seguintes requisitos:</w:t>
      </w:r>
    </w:p>
    <w:p w14:paraId="6F01CDDA" w14:textId="77777777" w:rsidR="00D62F37" w:rsidRDefault="00114804">
      <w:pPr>
        <w:widowControl w:val="0"/>
        <w:numPr>
          <w:ilvl w:val="2"/>
          <w:numId w:val="1"/>
        </w:numPr>
        <w:spacing w:line="276" w:lineRule="auto"/>
        <w:jc w:val="both"/>
      </w:pPr>
      <w:r>
        <w:rPr>
          <w:rFonts w:ascii="Arial" w:eastAsia="Arial" w:hAnsi="Arial" w:cs="Arial"/>
          <w:sz w:val="20"/>
          <w:szCs w:val="20"/>
        </w:rPr>
        <w:t>A contratada deverá contribuir para a promoção do desenvolvimento nacional sustentável no cumprimento de diretrizes e critérios de sustentabilidade ambiental, incluídos requisitos de baixo consumo de energia e de outros recursos, bem como logística reversa</w:t>
      </w:r>
      <w:r>
        <w:rPr>
          <w:rFonts w:ascii="Arial" w:eastAsia="Arial" w:hAnsi="Arial" w:cs="Arial"/>
          <w:sz w:val="20"/>
          <w:szCs w:val="20"/>
        </w:rPr>
        <w:t xml:space="preserve"> para desfazimento e reciclagem de bens e refugos, quando aplicável, conforme disposto no inciso XII, parágrafo 1º, artigo 18, da Lei nº 14.133/2021.</w:t>
      </w:r>
    </w:p>
    <w:p w14:paraId="3343048E"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color w:val="000000"/>
          <w:sz w:val="20"/>
          <w:szCs w:val="20"/>
        </w:rPr>
      </w:pPr>
      <w:r>
        <w:rPr>
          <w:rFonts w:ascii="Arial" w:eastAsia="Arial" w:hAnsi="Arial" w:cs="Arial"/>
          <w:b/>
          <w:color w:val="000000"/>
          <w:sz w:val="20"/>
          <w:szCs w:val="20"/>
        </w:rPr>
        <w:t>Da exigência de carta de solidariedade</w:t>
      </w:r>
    </w:p>
    <w:p w14:paraId="2D1285D7"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Em caso de fornecedor revendedor ou distribuidor, será exigida cart</w:t>
      </w:r>
      <w:r>
        <w:rPr>
          <w:rFonts w:ascii="Arial" w:eastAsia="Arial" w:hAnsi="Arial" w:cs="Arial"/>
          <w:color w:val="000000"/>
          <w:sz w:val="20"/>
          <w:szCs w:val="20"/>
        </w:rPr>
        <w:t>a de solidariedade emitida pelo fabricante, que assegure a execução do contrato.</w:t>
      </w:r>
    </w:p>
    <w:p w14:paraId="3AA5632C"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color w:val="000000"/>
          <w:sz w:val="20"/>
          <w:szCs w:val="20"/>
        </w:rPr>
      </w:pPr>
      <w:r>
        <w:rPr>
          <w:rFonts w:ascii="Arial" w:eastAsia="Arial" w:hAnsi="Arial" w:cs="Arial"/>
          <w:b/>
          <w:color w:val="000000"/>
          <w:sz w:val="20"/>
          <w:szCs w:val="20"/>
        </w:rPr>
        <w:t>Subcontratação</w:t>
      </w:r>
    </w:p>
    <w:p w14:paraId="75DA4F32"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sz w:val="20"/>
          <w:szCs w:val="20"/>
        </w:rPr>
        <w:t>Não é admitida a subcontratação do objeto contratual.</w:t>
      </w:r>
    </w:p>
    <w:p w14:paraId="531D248E"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sz w:val="20"/>
          <w:szCs w:val="20"/>
          <w:u w:val="single"/>
        </w:rPr>
      </w:pPr>
      <w:r>
        <w:rPr>
          <w:rFonts w:ascii="Arial" w:eastAsia="Arial" w:hAnsi="Arial" w:cs="Arial"/>
          <w:b/>
          <w:sz w:val="20"/>
          <w:szCs w:val="20"/>
        </w:rPr>
        <w:t>Garantia da Contratação</w:t>
      </w:r>
    </w:p>
    <w:p w14:paraId="20102AF0"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sz w:val="20"/>
          <w:szCs w:val="20"/>
        </w:rPr>
        <w:t xml:space="preserve">Será exigida a garantia da contratação de que tratam os </w:t>
      </w:r>
      <w:hyperlink r:id="rId8" w:anchor="art96">
        <w:proofErr w:type="spellStart"/>
        <w:r>
          <w:rPr>
            <w:rFonts w:ascii="Arial" w:eastAsia="Arial" w:hAnsi="Arial" w:cs="Arial"/>
            <w:sz w:val="20"/>
            <w:szCs w:val="20"/>
            <w:u w:val="single"/>
          </w:rPr>
          <w:t>arts</w:t>
        </w:r>
        <w:proofErr w:type="spellEnd"/>
        <w:r>
          <w:rPr>
            <w:rFonts w:ascii="Arial" w:eastAsia="Arial" w:hAnsi="Arial" w:cs="Arial"/>
            <w:sz w:val="20"/>
            <w:szCs w:val="20"/>
            <w:u w:val="single"/>
          </w:rPr>
          <w:t>. 96 e seguintes da Lei nº 14.133, de 2021</w:t>
        </w:r>
      </w:hyperlink>
      <w:r>
        <w:rPr>
          <w:rFonts w:ascii="Arial" w:eastAsia="Arial" w:hAnsi="Arial" w:cs="Arial"/>
          <w:sz w:val="20"/>
          <w:szCs w:val="20"/>
        </w:rPr>
        <w:t>, no percentual e condições descritas nas cláusulas d</w:t>
      </w:r>
      <w:r>
        <w:rPr>
          <w:rFonts w:ascii="Arial" w:eastAsia="Arial" w:hAnsi="Arial" w:cs="Arial"/>
          <w:sz w:val="20"/>
          <w:szCs w:val="20"/>
        </w:rPr>
        <w:t>o contrato.</w:t>
      </w:r>
    </w:p>
    <w:p w14:paraId="274BFA60"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sz w:val="20"/>
          <w:szCs w:val="20"/>
        </w:rPr>
        <w:lastRenderedPageBreak/>
        <w:t xml:space="preserve">Em caso de opção pelo seguro-garantia, a parte adjudicatária deverá apresentá-la, no máximo, até a data de assinatura do contrato.  </w:t>
      </w:r>
    </w:p>
    <w:p w14:paraId="28D10FC4"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sz w:val="20"/>
          <w:szCs w:val="20"/>
        </w:rPr>
        <w:t>A garantia, nas modalidades caução e fiança bancária, deverá ser prestada em até 10 dias úteis após a assinatur</w:t>
      </w:r>
      <w:r>
        <w:rPr>
          <w:rFonts w:ascii="Arial" w:eastAsia="Arial" w:hAnsi="Arial" w:cs="Arial"/>
          <w:sz w:val="20"/>
          <w:szCs w:val="20"/>
        </w:rPr>
        <w:t>a do contrato.</w:t>
      </w:r>
    </w:p>
    <w:p w14:paraId="77569257"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sz w:val="20"/>
          <w:szCs w:val="20"/>
        </w:rPr>
        <w:t>O contrato oferece maior detalhamento das regras que serão aplicadas em relação à garantia da contratação.</w:t>
      </w:r>
    </w:p>
    <w:p w14:paraId="4F390007"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color w:val="000000"/>
          <w:sz w:val="20"/>
          <w:szCs w:val="20"/>
        </w:rPr>
      </w:pPr>
      <w:r>
        <w:rPr>
          <w:rFonts w:ascii="Arial" w:eastAsia="Arial" w:hAnsi="Arial" w:cs="Arial"/>
          <w:b/>
          <w:color w:val="000000"/>
          <w:sz w:val="20"/>
          <w:szCs w:val="20"/>
        </w:rPr>
        <w:t>Informações relevantes para o dimensionamento da proposta</w:t>
      </w:r>
    </w:p>
    <w:p w14:paraId="58C2E016"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demanda do órgão tem como base as seguintes características:</w:t>
      </w:r>
    </w:p>
    <w:p w14:paraId="471B9A23"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sz w:val="20"/>
          <w:szCs w:val="20"/>
        </w:rPr>
        <w:t>A entrega física do link deverá ser feita em equipamentos diferentes do link principal que já se encontra em atividade nesta Instituição (RNP). Isso se dá como forma de minimizar a possibilidade de perda total de acesso aos dois links de internet da Instit</w:t>
      </w:r>
      <w:r>
        <w:rPr>
          <w:rFonts w:ascii="Arial" w:eastAsia="Arial" w:hAnsi="Arial" w:cs="Arial"/>
          <w:sz w:val="20"/>
          <w:szCs w:val="20"/>
        </w:rPr>
        <w:t>uição.</w:t>
      </w:r>
    </w:p>
    <w:p w14:paraId="08F50B02" w14:textId="77777777" w:rsidR="00D62F37" w:rsidRDefault="00114804">
      <w:pPr>
        <w:widowControl w:val="0"/>
        <w:numPr>
          <w:ilvl w:val="2"/>
          <w:numId w:val="1"/>
        </w:numPr>
        <w:spacing w:line="276" w:lineRule="auto"/>
        <w:jc w:val="both"/>
      </w:pPr>
      <w:r>
        <w:rPr>
          <w:rFonts w:ascii="Arial" w:eastAsia="Arial" w:hAnsi="Arial" w:cs="Arial"/>
          <w:sz w:val="20"/>
          <w:szCs w:val="20"/>
        </w:rPr>
        <w:t>A Contratada deverá fornecer os materiais/equipamentos necessários à perfeita execução dos serviços independente da forma de entrega física do link de internet e interligação ponto a ponto.</w:t>
      </w:r>
    </w:p>
    <w:p w14:paraId="3BB3FA7B" w14:textId="77777777" w:rsidR="00D62F37" w:rsidRDefault="00114804">
      <w:pPr>
        <w:widowControl w:val="0"/>
        <w:numPr>
          <w:ilvl w:val="2"/>
          <w:numId w:val="1"/>
        </w:numPr>
        <w:spacing w:line="276" w:lineRule="auto"/>
        <w:jc w:val="both"/>
      </w:pPr>
      <w:r>
        <w:rPr>
          <w:rFonts w:ascii="Arial" w:eastAsia="Arial" w:hAnsi="Arial" w:cs="Arial"/>
          <w:sz w:val="20"/>
          <w:szCs w:val="20"/>
        </w:rPr>
        <w:t>A contratação tem caráter continuado, pois é necessário man</w:t>
      </w:r>
      <w:r>
        <w:rPr>
          <w:rFonts w:ascii="Arial" w:eastAsia="Arial" w:hAnsi="Arial" w:cs="Arial"/>
          <w:sz w:val="20"/>
          <w:szCs w:val="20"/>
        </w:rPr>
        <w:t>ter os serviços diariamente/anualmente e sem interrupções, devido ao uso contínuo da internet para provimento de serviços, bem como acesso para tarefas institucionais.</w:t>
      </w:r>
    </w:p>
    <w:p w14:paraId="029D27B7" w14:textId="77777777" w:rsidR="00D62F37" w:rsidRDefault="00114804">
      <w:pPr>
        <w:widowControl w:val="0"/>
        <w:numPr>
          <w:ilvl w:val="2"/>
          <w:numId w:val="1"/>
        </w:numPr>
        <w:spacing w:line="276" w:lineRule="auto"/>
        <w:jc w:val="both"/>
      </w:pPr>
      <w:r>
        <w:rPr>
          <w:rFonts w:ascii="Arial" w:eastAsia="Arial" w:hAnsi="Arial" w:cs="Arial"/>
          <w:sz w:val="20"/>
          <w:szCs w:val="20"/>
        </w:rPr>
        <w:t xml:space="preserve">A contratada </w:t>
      </w:r>
      <w:proofErr w:type="gramStart"/>
      <w:r>
        <w:rPr>
          <w:rFonts w:ascii="Arial" w:eastAsia="Arial" w:hAnsi="Arial" w:cs="Arial"/>
          <w:sz w:val="20"/>
          <w:szCs w:val="20"/>
        </w:rPr>
        <w:t>deve Estar</w:t>
      </w:r>
      <w:proofErr w:type="gramEnd"/>
      <w:r>
        <w:rPr>
          <w:rFonts w:ascii="Arial" w:eastAsia="Arial" w:hAnsi="Arial" w:cs="Arial"/>
          <w:sz w:val="20"/>
          <w:szCs w:val="20"/>
        </w:rPr>
        <w:t xml:space="preserve"> alinhada à Lei nº 12.965, de 23 de abril de 2014 que estabelece </w:t>
      </w:r>
      <w:r>
        <w:rPr>
          <w:rFonts w:ascii="Arial" w:eastAsia="Arial" w:hAnsi="Arial" w:cs="Arial"/>
          <w:sz w:val="20"/>
          <w:szCs w:val="20"/>
        </w:rPr>
        <w:t xml:space="preserve">princípios, garantias, direitos e deveres para o uso na Internet no Brasil, à Lei Geral de Proteção de Dados - LGPD, de nº 13.709, de 14 de agosto de 2018, e à Resolução nº 715, de 23 de outubro de 2019, do </w:t>
      </w:r>
      <w:r>
        <w:rPr>
          <w:rFonts w:ascii="Arial" w:eastAsia="Arial" w:hAnsi="Arial" w:cs="Arial"/>
          <w:sz w:val="20"/>
          <w:szCs w:val="20"/>
          <w:highlight w:val="white"/>
        </w:rPr>
        <w:t>Conselho Diretor da Agência Nacional de Telecomun</w:t>
      </w:r>
      <w:r>
        <w:rPr>
          <w:rFonts w:ascii="Arial" w:eastAsia="Arial" w:hAnsi="Arial" w:cs="Arial"/>
          <w:sz w:val="20"/>
          <w:szCs w:val="20"/>
          <w:highlight w:val="white"/>
        </w:rPr>
        <w:t>icações (ANATEL)</w:t>
      </w:r>
      <w:r>
        <w:rPr>
          <w:rFonts w:ascii="Arial" w:eastAsia="Arial" w:hAnsi="Arial" w:cs="Arial"/>
          <w:sz w:val="20"/>
          <w:szCs w:val="20"/>
        </w:rPr>
        <w:t>.</w:t>
      </w:r>
    </w:p>
    <w:p w14:paraId="62094197" w14:textId="77777777" w:rsidR="00D62F37" w:rsidRDefault="00114804">
      <w:pPr>
        <w:keepNext/>
        <w:keepLines/>
        <w:numPr>
          <w:ilvl w:val="0"/>
          <w:numId w:val="1"/>
        </w:numPr>
        <w:pBdr>
          <w:top w:val="nil"/>
          <w:left w:val="nil"/>
          <w:bottom w:val="nil"/>
          <w:right w:val="nil"/>
          <w:between w:val="nil"/>
        </w:pBdr>
        <w:tabs>
          <w:tab w:val="left" w:pos="-709"/>
        </w:tabs>
        <w:spacing w:before="240" w:after="120" w:line="276" w:lineRule="auto"/>
        <w:jc w:val="both"/>
      </w:pPr>
      <w:r>
        <w:rPr>
          <w:rFonts w:ascii="Arial" w:eastAsia="Arial" w:hAnsi="Arial" w:cs="Arial"/>
          <w:b/>
          <w:color w:val="000000"/>
          <w:sz w:val="20"/>
          <w:szCs w:val="20"/>
        </w:rPr>
        <w:t>PAPÉIS E RESPONSABILIDADES</w:t>
      </w:r>
    </w:p>
    <w:p w14:paraId="18261AD9"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São obrigações da CONTRATANTE:</w:t>
      </w:r>
    </w:p>
    <w:p w14:paraId="08E0AAE9"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nomear Gestor e Fiscais Técnico, Administrativo e Requisitante do contrato para acompanhar e fiscalizar a execução dos contratos;</w:t>
      </w:r>
    </w:p>
    <w:p w14:paraId="2E096956"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encaminhar formalmente a demanda por meio de Ordem de Serviço ou de Fornecimento de Bens, de acordo com os critérios estabelec</w:t>
      </w:r>
      <w:r>
        <w:rPr>
          <w:rFonts w:ascii="Arial" w:eastAsia="Arial" w:hAnsi="Arial" w:cs="Arial"/>
          <w:color w:val="000000"/>
          <w:sz w:val="20"/>
          <w:szCs w:val="20"/>
        </w:rPr>
        <w:t>idos no Termo de Referência;</w:t>
      </w:r>
    </w:p>
    <w:p w14:paraId="3A1AE707"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receber o objeto fornecido pelo contratado que esteja em conformidade com a proposta aceita, conforme inspeções realizadas;</w:t>
      </w:r>
    </w:p>
    <w:p w14:paraId="351DC8C4"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aplicar à contratada as sanções administrativas regulamentares e contratuais cabíveis, comunicando ao ó</w:t>
      </w:r>
      <w:r>
        <w:rPr>
          <w:rFonts w:ascii="Arial" w:eastAsia="Arial" w:hAnsi="Arial" w:cs="Arial"/>
          <w:color w:val="000000"/>
          <w:sz w:val="20"/>
          <w:szCs w:val="20"/>
        </w:rPr>
        <w:t>rgão gerenciador da Ata de Registro de Preços, quando aplicável;</w:t>
      </w:r>
    </w:p>
    <w:p w14:paraId="52ABDD25"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liquidar o empenho e efetuar o pagamento à contratada, dentro dos prazos preestabelecidos em contrato;</w:t>
      </w:r>
    </w:p>
    <w:p w14:paraId="264FBB65"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comunicar à contratada todas e quaisquer ocorrências relacionadas com o fornecimento da </w:t>
      </w:r>
      <w:r>
        <w:rPr>
          <w:rFonts w:ascii="Arial" w:eastAsia="Arial" w:hAnsi="Arial" w:cs="Arial"/>
          <w:color w:val="000000"/>
          <w:sz w:val="20"/>
          <w:szCs w:val="20"/>
        </w:rPr>
        <w:t>solução de TIC;</w:t>
      </w:r>
    </w:p>
    <w:p w14:paraId="5BD4DB32"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definir produtividade ou capacidade mínima de fornecimento da solução de TIC por parte do contratado, com base em pesquisas de mercado, quando aplicável; </w:t>
      </w:r>
    </w:p>
    <w:p w14:paraId="0FE9EE46"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prever que os direitos de propriedade intelectual e direitos autorais da solução de T</w:t>
      </w:r>
      <w:r>
        <w:rPr>
          <w:rFonts w:ascii="Arial" w:eastAsia="Arial" w:hAnsi="Arial" w:cs="Arial"/>
          <w:color w:val="000000"/>
          <w:sz w:val="20"/>
          <w:szCs w:val="20"/>
        </w:rPr>
        <w:t xml:space="preserve">IC sobre os diversos artefatos e produtos cuja criação ou alteração seja objeto da relação contratual </w:t>
      </w:r>
      <w:r>
        <w:rPr>
          <w:rFonts w:ascii="Arial" w:eastAsia="Arial" w:hAnsi="Arial" w:cs="Arial"/>
          <w:color w:val="000000"/>
          <w:sz w:val="20"/>
          <w:szCs w:val="20"/>
        </w:rPr>
        <w:lastRenderedPageBreak/>
        <w:t>pertençam à Administração, incluindo a documentação, o código-fonte de aplicações, os modelos de dados e as bases de dados, justificando os casos em que i</w:t>
      </w:r>
      <w:r>
        <w:rPr>
          <w:rFonts w:ascii="Arial" w:eastAsia="Arial" w:hAnsi="Arial" w:cs="Arial"/>
          <w:color w:val="000000"/>
          <w:sz w:val="20"/>
          <w:szCs w:val="20"/>
        </w:rPr>
        <w:t>sso não ocorrer;</w:t>
      </w:r>
    </w:p>
    <w:p w14:paraId="1C66B67E"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São obrigações do CONTRATADO</w:t>
      </w:r>
    </w:p>
    <w:p w14:paraId="2B73C90E"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indicar formalmente preposto apto a representá-la junto à contratante, que deverá responder pela fiel execução do contrato;</w:t>
      </w:r>
    </w:p>
    <w:p w14:paraId="13F4EA4B"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atender prontamente quaisquer orientações e exigências da Equipe de Fiscalização do Co</w:t>
      </w:r>
      <w:r>
        <w:rPr>
          <w:rFonts w:ascii="Arial" w:eastAsia="Arial" w:hAnsi="Arial" w:cs="Arial"/>
          <w:color w:val="000000"/>
          <w:sz w:val="20"/>
          <w:szCs w:val="20"/>
        </w:rPr>
        <w:t>ntrato, inerentes à execução do objeto contratual;</w:t>
      </w:r>
    </w:p>
    <w:p w14:paraId="35CCE84F"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reparar quaisquer danos diretamente causados à contratante ou a terceiros por culpa ou dolo de seus representantes legais, prepostos ou empregados, em decorrência da relação contratual, não excluindo ou re</w:t>
      </w:r>
      <w:r>
        <w:rPr>
          <w:rFonts w:ascii="Arial" w:eastAsia="Arial" w:hAnsi="Arial" w:cs="Arial"/>
          <w:color w:val="000000"/>
          <w:sz w:val="20"/>
          <w:szCs w:val="20"/>
        </w:rPr>
        <w:t>duzindo a responsabilidade da fiscalização ou o acompanhamento da execução dos serviços pela contratante;</w:t>
      </w:r>
    </w:p>
    <w:p w14:paraId="10F8E6DC"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propiciar todos os meios necessários à fiscalização do contrato pela contratante, cujo representante terá poderes para sustar o fornecimento, total ou</w:t>
      </w:r>
      <w:r>
        <w:rPr>
          <w:rFonts w:ascii="Arial" w:eastAsia="Arial" w:hAnsi="Arial" w:cs="Arial"/>
          <w:color w:val="000000"/>
          <w:sz w:val="20"/>
          <w:szCs w:val="20"/>
        </w:rPr>
        <w:t xml:space="preserve"> parcial, em qualquer tempo, desde que motivadas as causas e justificativas desta decisão;</w:t>
      </w:r>
    </w:p>
    <w:p w14:paraId="37BD3654"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manter, durante toda a execução do contrato, as mesmas condições da habilitação;</w:t>
      </w:r>
    </w:p>
    <w:p w14:paraId="70D9F507"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quando especificada, manter, durante a execução do contrato, equipe técnica composta</w:t>
      </w:r>
      <w:r>
        <w:rPr>
          <w:rFonts w:ascii="Arial" w:eastAsia="Arial" w:hAnsi="Arial" w:cs="Arial"/>
          <w:color w:val="000000"/>
          <w:sz w:val="20"/>
          <w:szCs w:val="20"/>
        </w:rPr>
        <w:t xml:space="preserve"> por profissionais devidamente habilitados, treinados e qualificados para fornecimento da solução de TIC;</w:t>
      </w:r>
    </w:p>
    <w:p w14:paraId="7499F671"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quando especificado, manter a produtividade ou a capacidade mínima de fornecimento da solução de TIC durante a execução do contrato;</w:t>
      </w:r>
    </w:p>
    <w:p w14:paraId="51903247"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ceder os direitos de propriedade intelectual e direitos autorais da solução de TIC sobre os diversos artefatos e produtos produzidos em decorrência da relação contratual, incluindo a documentação, os modelos de dados e as bases de dados à Administração;</w:t>
      </w:r>
    </w:p>
    <w:p w14:paraId="23E5B6EB"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fa</w:t>
      </w:r>
      <w:r>
        <w:rPr>
          <w:rFonts w:ascii="Arial" w:eastAsia="Arial" w:hAnsi="Arial" w:cs="Arial"/>
          <w:color w:val="000000"/>
          <w:sz w:val="20"/>
          <w:szCs w:val="20"/>
        </w:rPr>
        <w:t>zer a transição contratual, quando for o caso; </w:t>
      </w:r>
    </w:p>
    <w:p w14:paraId="3EA72924"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sz w:val="20"/>
          <w:szCs w:val="20"/>
        </w:rPr>
        <w:t>Disponibilizar manutenção preventiva, corretiva e gerenciamento dos equipamentos e da rede envolvida, de forma a evitar a ocorrência de interrupções no serviço ou quando isto não for possível, minimizar sua d</w:t>
      </w:r>
      <w:r>
        <w:rPr>
          <w:rFonts w:ascii="Arial" w:eastAsia="Arial" w:hAnsi="Arial" w:cs="Arial"/>
          <w:sz w:val="20"/>
          <w:szCs w:val="20"/>
        </w:rPr>
        <w:t>uração;</w:t>
      </w:r>
    </w:p>
    <w:p w14:paraId="2DE226C4" w14:textId="77777777" w:rsidR="00D62F37" w:rsidRDefault="00114804">
      <w:pPr>
        <w:widowControl w:val="0"/>
        <w:numPr>
          <w:ilvl w:val="2"/>
          <w:numId w:val="1"/>
        </w:numPr>
        <w:tabs>
          <w:tab w:val="center" w:pos="4819"/>
          <w:tab w:val="right" w:pos="9638"/>
        </w:tabs>
        <w:jc w:val="both"/>
      </w:pPr>
      <w:r>
        <w:rPr>
          <w:rFonts w:ascii="Arial" w:eastAsia="Arial" w:hAnsi="Arial" w:cs="Arial"/>
          <w:sz w:val="20"/>
          <w:szCs w:val="20"/>
        </w:rPr>
        <w:t>Tornar a infraestrutura e os serviços de TI resistentes a falhas;</w:t>
      </w:r>
    </w:p>
    <w:p w14:paraId="57F5FB21" w14:textId="77777777" w:rsidR="00D62F37" w:rsidRDefault="00114804">
      <w:pPr>
        <w:widowControl w:val="0"/>
        <w:numPr>
          <w:ilvl w:val="2"/>
          <w:numId w:val="1"/>
        </w:numPr>
        <w:tabs>
          <w:tab w:val="center" w:pos="4819"/>
          <w:tab w:val="right" w:pos="9638"/>
        </w:tabs>
        <w:jc w:val="both"/>
      </w:pPr>
      <w:r>
        <w:rPr>
          <w:rFonts w:ascii="Arial" w:eastAsia="Arial" w:hAnsi="Arial" w:cs="Arial"/>
          <w:sz w:val="20"/>
          <w:szCs w:val="20"/>
        </w:rPr>
        <w:t>Utilizar, na execução dos serviços, apenas técnicos devidamente especializados, treinados e integrantes de seu quadro de empregados ou terceirizados, constantes na composição da equi</w:t>
      </w:r>
      <w:r>
        <w:rPr>
          <w:rFonts w:ascii="Arial" w:eastAsia="Arial" w:hAnsi="Arial" w:cs="Arial"/>
          <w:sz w:val="20"/>
          <w:szCs w:val="20"/>
        </w:rPr>
        <w:t>pe.</w:t>
      </w:r>
    </w:p>
    <w:p w14:paraId="12AFF73C" w14:textId="77777777" w:rsidR="00D62F37" w:rsidRDefault="00114804">
      <w:pPr>
        <w:widowControl w:val="0"/>
        <w:numPr>
          <w:ilvl w:val="2"/>
          <w:numId w:val="1"/>
        </w:numPr>
        <w:tabs>
          <w:tab w:val="center" w:pos="4819"/>
          <w:tab w:val="right" w:pos="9638"/>
        </w:tabs>
        <w:jc w:val="both"/>
      </w:pPr>
      <w:r>
        <w:rPr>
          <w:rFonts w:ascii="Arial" w:eastAsia="Arial" w:hAnsi="Arial" w:cs="Arial"/>
          <w:sz w:val="20"/>
          <w:szCs w:val="20"/>
        </w:rPr>
        <w:t>Assumir inteira responsabilidade técnica e administrativa do objeto contratado, não podendo, sob qualquer hipótese, transferir a outras empresas a responsabilidade por problemas de funcionamento do serviço.</w:t>
      </w:r>
    </w:p>
    <w:p w14:paraId="03AC6EE6" w14:textId="77777777" w:rsidR="00D62F37" w:rsidRDefault="00114804">
      <w:pPr>
        <w:widowControl w:val="0"/>
        <w:numPr>
          <w:ilvl w:val="2"/>
          <w:numId w:val="1"/>
        </w:numPr>
        <w:tabs>
          <w:tab w:val="center" w:pos="4819"/>
          <w:tab w:val="right" w:pos="9638"/>
        </w:tabs>
        <w:jc w:val="both"/>
      </w:pPr>
      <w:r>
        <w:rPr>
          <w:rFonts w:ascii="Arial" w:eastAsia="Arial" w:hAnsi="Arial" w:cs="Arial"/>
          <w:sz w:val="20"/>
          <w:szCs w:val="20"/>
        </w:rPr>
        <w:t xml:space="preserve">Disponibilizar acesso </w:t>
      </w:r>
      <w:proofErr w:type="spellStart"/>
      <w:r>
        <w:rPr>
          <w:rFonts w:ascii="Arial" w:eastAsia="Arial" w:hAnsi="Arial" w:cs="Arial"/>
          <w:sz w:val="20"/>
          <w:szCs w:val="20"/>
        </w:rPr>
        <w:t>a</w:t>
      </w:r>
      <w:proofErr w:type="spellEnd"/>
      <w:r>
        <w:rPr>
          <w:rFonts w:ascii="Arial" w:eastAsia="Arial" w:hAnsi="Arial" w:cs="Arial"/>
          <w:sz w:val="20"/>
          <w:szCs w:val="20"/>
        </w:rPr>
        <w:t xml:space="preserve"> sistema onde possam s</w:t>
      </w:r>
      <w:r>
        <w:rPr>
          <w:rFonts w:ascii="Arial" w:eastAsia="Arial" w:hAnsi="Arial" w:cs="Arial"/>
          <w:sz w:val="20"/>
          <w:szCs w:val="20"/>
        </w:rPr>
        <w:t>er gerados relatórios contendo gráfico de consumo, qualidade e disponibilidade do link diário, semanal, mensal e anual.</w:t>
      </w:r>
    </w:p>
    <w:p w14:paraId="09272694" w14:textId="77777777" w:rsidR="00D62F37" w:rsidRDefault="00D62F37">
      <w:pPr>
        <w:pBdr>
          <w:top w:val="nil"/>
          <w:left w:val="nil"/>
          <w:bottom w:val="nil"/>
          <w:right w:val="nil"/>
          <w:between w:val="nil"/>
        </w:pBdr>
        <w:spacing w:before="120" w:after="120" w:line="276" w:lineRule="auto"/>
        <w:jc w:val="both"/>
        <w:rPr>
          <w:rFonts w:ascii="Arial" w:eastAsia="Arial" w:hAnsi="Arial" w:cs="Arial"/>
          <w:strike/>
          <w:color w:val="000000"/>
          <w:sz w:val="20"/>
          <w:szCs w:val="20"/>
        </w:rPr>
      </w:pPr>
    </w:p>
    <w:p w14:paraId="3DFFB802" w14:textId="77777777" w:rsidR="00D62F37" w:rsidRDefault="00114804">
      <w:pPr>
        <w:keepNext/>
        <w:keepLines/>
        <w:numPr>
          <w:ilvl w:val="0"/>
          <w:numId w:val="1"/>
        </w:numPr>
        <w:pBdr>
          <w:top w:val="nil"/>
          <w:left w:val="nil"/>
          <w:bottom w:val="nil"/>
          <w:right w:val="nil"/>
          <w:between w:val="nil"/>
        </w:pBdr>
        <w:tabs>
          <w:tab w:val="left" w:pos="-709"/>
        </w:tabs>
        <w:spacing w:before="240" w:after="120" w:line="276" w:lineRule="auto"/>
        <w:jc w:val="both"/>
      </w:pPr>
      <w:r>
        <w:rPr>
          <w:rFonts w:ascii="Arial" w:eastAsia="Arial" w:hAnsi="Arial" w:cs="Arial"/>
          <w:b/>
          <w:color w:val="000000"/>
          <w:sz w:val="20"/>
          <w:szCs w:val="20"/>
        </w:rPr>
        <w:t>MODELO DE EXECUÇÃO DO CONTRATO</w:t>
      </w:r>
    </w:p>
    <w:p w14:paraId="16430011"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i/>
          <w:color w:val="000000"/>
          <w:sz w:val="20"/>
          <w:szCs w:val="20"/>
        </w:rPr>
      </w:pPr>
      <w:r>
        <w:rPr>
          <w:rFonts w:ascii="Arial" w:eastAsia="Arial" w:hAnsi="Arial" w:cs="Arial"/>
          <w:b/>
          <w:color w:val="000000"/>
          <w:sz w:val="20"/>
          <w:szCs w:val="20"/>
        </w:rPr>
        <w:t>Condições de execução</w:t>
      </w:r>
    </w:p>
    <w:p w14:paraId="23664FC3"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execução do objeto seguirá a seguinte dinâmica:</w:t>
      </w:r>
    </w:p>
    <w:p w14:paraId="270EBF89"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lastRenderedPageBreak/>
        <w:t xml:space="preserve">Início da execução do objeto: </w:t>
      </w:r>
      <w:r>
        <w:rPr>
          <w:rFonts w:ascii="Arial" w:eastAsia="Arial" w:hAnsi="Arial" w:cs="Arial"/>
          <w:sz w:val="20"/>
          <w:szCs w:val="20"/>
        </w:rPr>
        <w:t>10</w:t>
      </w:r>
      <w:r>
        <w:rPr>
          <w:rFonts w:ascii="Arial" w:eastAsia="Arial" w:hAnsi="Arial" w:cs="Arial"/>
          <w:color w:val="000000"/>
          <w:sz w:val="20"/>
          <w:szCs w:val="20"/>
        </w:rPr>
        <w:t xml:space="preserve"> dias contados </w:t>
      </w:r>
      <w:r>
        <w:rPr>
          <w:rFonts w:ascii="Arial" w:eastAsia="Arial" w:hAnsi="Arial" w:cs="Arial"/>
          <w:strike/>
          <w:color w:val="000000"/>
          <w:sz w:val="20"/>
          <w:szCs w:val="20"/>
        </w:rPr>
        <w:t>[da assinatura do contrato] OU</w:t>
      </w:r>
      <w:r>
        <w:rPr>
          <w:rFonts w:ascii="Arial" w:eastAsia="Arial" w:hAnsi="Arial" w:cs="Arial"/>
          <w:color w:val="000000"/>
          <w:sz w:val="20"/>
          <w:szCs w:val="20"/>
        </w:rPr>
        <w:t xml:space="preserve"> [da emissão da ordem de serviço];</w:t>
      </w:r>
    </w:p>
    <w:p w14:paraId="7BD6C07C"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Descrição detalhada dos métodos, rotinas, etapas, </w:t>
      </w:r>
      <w:r>
        <w:rPr>
          <w:rFonts w:ascii="Arial" w:eastAsia="Arial" w:hAnsi="Arial" w:cs="Arial"/>
          <w:sz w:val="20"/>
          <w:szCs w:val="20"/>
        </w:rPr>
        <w:t>tecnologias, procedimentos</w:t>
      </w:r>
      <w:r>
        <w:rPr>
          <w:rFonts w:ascii="Arial" w:eastAsia="Arial" w:hAnsi="Arial" w:cs="Arial"/>
          <w:color w:val="000000"/>
          <w:sz w:val="20"/>
          <w:szCs w:val="20"/>
        </w:rPr>
        <w:t xml:space="preserve">, frequência e periodicidade de execução do trabalho: </w:t>
      </w:r>
      <w:r>
        <w:rPr>
          <w:rFonts w:ascii="Arial" w:eastAsia="Arial" w:hAnsi="Arial" w:cs="Arial"/>
          <w:sz w:val="20"/>
          <w:szCs w:val="20"/>
        </w:rPr>
        <w:t>constante no Estudo Técnico Preliminar.</w:t>
      </w:r>
    </w:p>
    <w:p w14:paraId="78A34D74"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color w:val="000000"/>
          <w:sz w:val="20"/>
          <w:szCs w:val="20"/>
        </w:rPr>
      </w:pPr>
      <w:r>
        <w:rPr>
          <w:rFonts w:ascii="Arial" w:eastAsia="Arial" w:hAnsi="Arial" w:cs="Arial"/>
          <w:b/>
          <w:color w:val="000000"/>
          <w:sz w:val="20"/>
          <w:szCs w:val="20"/>
        </w:rPr>
        <w:t>Local e horário da prestação dos serviços</w:t>
      </w:r>
    </w:p>
    <w:p w14:paraId="2BDF5773"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Os serviços serão prestados no seguinte endereço: </w:t>
      </w:r>
      <w:r>
        <w:rPr>
          <w:rFonts w:ascii="Arial" w:eastAsia="Arial" w:hAnsi="Arial" w:cs="Arial"/>
          <w:sz w:val="20"/>
          <w:szCs w:val="20"/>
        </w:rPr>
        <w:t xml:space="preserve">Rua </w:t>
      </w:r>
      <w:proofErr w:type="spellStart"/>
      <w:r>
        <w:rPr>
          <w:rFonts w:ascii="Arial" w:eastAsia="Arial" w:hAnsi="Arial" w:cs="Arial"/>
          <w:sz w:val="20"/>
          <w:szCs w:val="20"/>
        </w:rPr>
        <w:t>Nelsí</w:t>
      </w:r>
      <w:proofErr w:type="spellEnd"/>
      <w:r>
        <w:rPr>
          <w:rFonts w:ascii="Arial" w:eastAsia="Arial" w:hAnsi="Arial" w:cs="Arial"/>
          <w:sz w:val="20"/>
          <w:szCs w:val="20"/>
        </w:rPr>
        <w:t xml:space="preserve"> Ribas Fritsch, nº 1111, Bairro Esperança, na cidade de Ibirubá/RS, CEP 98.200-000, IFRS - Campus Ibirubá.</w:t>
      </w:r>
    </w:p>
    <w:p w14:paraId="322A9771"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serviços serão prestados</w:t>
      </w:r>
      <w:r>
        <w:rPr>
          <w:rFonts w:ascii="Arial" w:eastAsia="Arial" w:hAnsi="Arial" w:cs="Arial"/>
          <w:sz w:val="20"/>
          <w:szCs w:val="20"/>
        </w:rPr>
        <w:t xml:space="preserve"> </w:t>
      </w:r>
      <w:r>
        <w:rPr>
          <w:rFonts w:ascii="Arial" w:eastAsia="Arial" w:hAnsi="Arial" w:cs="Arial"/>
          <w:color w:val="000000"/>
          <w:sz w:val="20"/>
          <w:szCs w:val="20"/>
        </w:rPr>
        <w:t>de forma contínu</w:t>
      </w:r>
      <w:r>
        <w:rPr>
          <w:rFonts w:ascii="Arial" w:eastAsia="Arial" w:hAnsi="Arial" w:cs="Arial"/>
          <w:sz w:val="20"/>
          <w:szCs w:val="20"/>
        </w:rPr>
        <w:t>a.</w:t>
      </w:r>
    </w:p>
    <w:p w14:paraId="27009A87"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sz w:val="20"/>
          <w:szCs w:val="20"/>
        </w:rPr>
        <w:t xml:space="preserve">No caso de manutenção e/ou substituição de </w:t>
      </w:r>
      <w:r>
        <w:rPr>
          <w:rFonts w:ascii="Arial" w:eastAsia="Arial" w:hAnsi="Arial" w:cs="Arial"/>
          <w:sz w:val="20"/>
          <w:szCs w:val="20"/>
        </w:rPr>
        <w:t>materiais e equipamentos, deve ser observado o disposto no item “DEMAIS REQUISITOS NECESSÁRIOS E SUFICIENTES À ESCOLHA DA SOLUÇÃO DE TIC” do Estudo Técnico Preliminar.</w:t>
      </w:r>
    </w:p>
    <w:p w14:paraId="5D34E3AA"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color w:val="000000"/>
          <w:sz w:val="20"/>
          <w:szCs w:val="20"/>
        </w:rPr>
      </w:pPr>
      <w:r>
        <w:rPr>
          <w:rFonts w:ascii="Arial" w:eastAsia="Arial" w:hAnsi="Arial" w:cs="Arial"/>
          <w:b/>
          <w:color w:val="000000"/>
          <w:sz w:val="20"/>
          <w:szCs w:val="20"/>
        </w:rPr>
        <w:t>Materiais a serem disponibilizados</w:t>
      </w:r>
    </w:p>
    <w:p w14:paraId="510EDA8E"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Para a perfeita execução dos serviços, a Contratada d</w:t>
      </w:r>
      <w:r>
        <w:rPr>
          <w:rFonts w:ascii="Arial" w:eastAsia="Arial" w:hAnsi="Arial" w:cs="Arial"/>
          <w:color w:val="000000"/>
          <w:sz w:val="20"/>
          <w:szCs w:val="20"/>
        </w:rPr>
        <w:t xml:space="preserve">everá disponibilizar os materiais, equipamentos, ferramentas e utensílios necessários, </w:t>
      </w:r>
      <w:r>
        <w:rPr>
          <w:rFonts w:ascii="Arial" w:eastAsia="Arial" w:hAnsi="Arial" w:cs="Arial"/>
          <w:color w:val="000000"/>
          <w:sz w:val="20"/>
          <w:szCs w:val="20"/>
        </w:rPr>
        <w:t xml:space="preserve">nas quantidades e qualidades suficientes </w:t>
      </w:r>
      <w:r>
        <w:rPr>
          <w:rFonts w:ascii="Arial" w:eastAsia="Arial" w:hAnsi="Arial" w:cs="Arial"/>
          <w:sz w:val="20"/>
          <w:szCs w:val="20"/>
        </w:rPr>
        <w:t>à plena</w:t>
      </w:r>
      <w:r>
        <w:rPr>
          <w:rFonts w:ascii="Arial" w:eastAsia="Arial" w:hAnsi="Arial" w:cs="Arial"/>
          <w:color w:val="000000"/>
          <w:sz w:val="20"/>
          <w:szCs w:val="20"/>
        </w:rPr>
        <w:t xml:space="preserve"> </w:t>
      </w:r>
      <w:r>
        <w:rPr>
          <w:rFonts w:ascii="Arial" w:eastAsia="Arial" w:hAnsi="Arial" w:cs="Arial"/>
          <w:sz w:val="20"/>
          <w:szCs w:val="20"/>
        </w:rPr>
        <w:t>prestação dos serviços</w:t>
      </w:r>
      <w:r>
        <w:rPr>
          <w:rFonts w:ascii="Arial" w:eastAsia="Arial" w:hAnsi="Arial" w:cs="Arial"/>
          <w:color w:val="000000"/>
          <w:sz w:val="20"/>
          <w:szCs w:val="20"/>
        </w:rPr>
        <w:t>, promovendo sua substituiç</w:t>
      </w:r>
      <w:r>
        <w:rPr>
          <w:rFonts w:ascii="Arial" w:eastAsia="Arial" w:hAnsi="Arial" w:cs="Arial"/>
          <w:color w:val="000000"/>
          <w:sz w:val="20"/>
          <w:szCs w:val="20"/>
        </w:rPr>
        <w:t>ão quando necessário</w:t>
      </w:r>
      <w:r>
        <w:rPr>
          <w:rFonts w:ascii="Arial" w:eastAsia="Arial" w:hAnsi="Arial" w:cs="Arial"/>
          <w:sz w:val="20"/>
          <w:szCs w:val="20"/>
        </w:rPr>
        <w:t>.</w:t>
      </w:r>
    </w:p>
    <w:p w14:paraId="41E365B5"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i/>
          <w:color w:val="000000"/>
          <w:sz w:val="20"/>
          <w:szCs w:val="20"/>
        </w:rPr>
      </w:pPr>
      <w:r>
        <w:rPr>
          <w:rFonts w:ascii="Arial" w:eastAsia="Arial" w:hAnsi="Arial" w:cs="Arial"/>
          <w:b/>
          <w:i/>
          <w:color w:val="000000"/>
          <w:sz w:val="20"/>
          <w:szCs w:val="20"/>
        </w:rPr>
        <w:t>Especificação da garantia do serviço</w:t>
      </w:r>
      <w:r>
        <w:rPr>
          <w:rFonts w:ascii="Arial" w:eastAsia="Arial" w:hAnsi="Arial" w:cs="Arial"/>
          <w:b/>
          <w:color w:val="000000"/>
          <w:sz w:val="20"/>
          <w:szCs w:val="20"/>
        </w:rPr>
        <w:t xml:space="preserve"> (</w:t>
      </w:r>
      <w:hyperlink r:id="rId9" w:anchor="art40%C2%A71">
        <w:r>
          <w:rPr>
            <w:rFonts w:ascii="Arial" w:eastAsia="Arial" w:hAnsi="Arial" w:cs="Arial"/>
            <w:b/>
            <w:i/>
            <w:color w:val="000080"/>
            <w:sz w:val="20"/>
            <w:szCs w:val="20"/>
            <w:u w:val="single"/>
          </w:rPr>
          <w:t>art. 40, §1º, inciso III, da Lei nº 14.133, de 2021</w:t>
        </w:r>
      </w:hyperlink>
      <w:r>
        <w:rPr>
          <w:rFonts w:ascii="Arial" w:eastAsia="Arial" w:hAnsi="Arial" w:cs="Arial"/>
          <w:b/>
          <w:i/>
          <w:color w:val="000000"/>
          <w:sz w:val="20"/>
          <w:szCs w:val="20"/>
        </w:rPr>
        <w:t>)</w:t>
      </w:r>
    </w:p>
    <w:p w14:paraId="4BC1AEB7"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 prazo de garantia contratual dos serviços é aquele estabelecido </w:t>
      </w:r>
      <w:hyperlink r:id="rId10">
        <w:r>
          <w:rPr>
            <w:rFonts w:ascii="Arial" w:eastAsia="Arial" w:hAnsi="Arial" w:cs="Arial"/>
            <w:color w:val="000000"/>
            <w:sz w:val="20"/>
            <w:szCs w:val="20"/>
          </w:rPr>
          <w:t>na Lei nº 8.078, de 11 de setembro de 1990</w:t>
        </w:r>
      </w:hyperlink>
      <w:r>
        <w:rPr>
          <w:rFonts w:ascii="Arial" w:eastAsia="Arial" w:hAnsi="Arial" w:cs="Arial"/>
          <w:color w:val="000000"/>
          <w:sz w:val="20"/>
          <w:szCs w:val="20"/>
        </w:rPr>
        <w:t xml:space="preserve"> (Código de Defesa do Consumidor).</w:t>
      </w:r>
    </w:p>
    <w:p w14:paraId="605873C7"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Não será necessária transferênci</w:t>
      </w:r>
      <w:r>
        <w:rPr>
          <w:rFonts w:ascii="Arial" w:eastAsia="Arial" w:hAnsi="Arial" w:cs="Arial"/>
          <w:color w:val="000000"/>
          <w:sz w:val="20"/>
          <w:szCs w:val="20"/>
        </w:rPr>
        <w:t>a de conhecimento devido às características do objeto.</w:t>
      </w:r>
    </w:p>
    <w:p w14:paraId="3C5E7634"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i/>
          <w:strike/>
          <w:color w:val="FF0000"/>
          <w:sz w:val="20"/>
          <w:szCs w:val="20"/>
          <w:u w:val="single"/>
        </w:rPr>
      </w:pPr>
      <w:r>
        <w:rPr>
          <w:rFonts w:ascii="Arial" w:eastAsia="Arial" w:hAnsi="Arial" w:cs="Arial"/>
          <w:b/>
          <w:color w:val="000000"/>
          <w:sz w:val="20"/>
          <w:szCs w:val="20"/>
        </w:rPr>
        <w:t>Procedimentos de transição e finalização do contrato</w:t>
      </w:r>
    </w:p>
    <w:p w14:paraId="0EE98BB9"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Não serão necessários procedimentos de transição e finalização do contrato devido às características do objeto.</w:t>
      </w:r>
    </w:p>
    <w:p w14:paraId="30A20216"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color w:val="000000"/>
          <w:sz w:val="20"/>
          <w:szCs w:val="20"/>
        </w:rPr>
      </w:pPr>
      <w:r>
        <w:rPr>
          <w:rFonts w:ascii="Arial" w:eastAsia="Arial" w:hAnsi="Arial" w:cs="Arial"/>
          <w:b/>
          <w:color w:val="000000"/>
          <w:sz w:val="20"/>
          <w:szCs w:val="20"/>
        </w:rPr>
        <w:t>Quantidade mínima de serviços para comparação e controle</w:t>
      </w:r>
    </w:p>
    <w:p w14:paraId="5236E394"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Cada OS conterá o volume de serviços demandados, incluindo a sua localização e o prazo,</w:t>
      </w:r>
      <w:r>
        <w:rPr>
          <w:rFonts w:ascii="Arial" w:eastAsia="Arial" w:hAnsi="Arial" w:cs="Arial"/>
          <w:color w:val="000000"/>
          <w:sz w:val="20"/>
          <w:szCs w:val="20"/>
        </w:rPr>
        <w:t xml:space="preserve"> conforme modelo descrito no Anexo</w:t>
      </w:r>
      <w:r>
        <w:rPr>
          <w:rFonts w:ascii="Arial" w:eastAsia="Arial" w:hAnsi="Arial" w:cs="Arial"/>
          <w:sz w:val="20"/>
          <w:szCs w:val="20"/>
        </w:rPr>
        <w:t xml:space="preserve"> V</w:t>
      </w:r>
      <w:r>
        <w:rPr>
          <w:rFonts w:ascii="Arial" w:eastAsia="Arial" w:hAnsi="Arial" w:cs="Arial"/>
          <w:color w:val="000000"/>
          <w:sz w:val="20"/>
          <w:szCs w:val="20"/>
        </w:rPr>
        <w:t>.</w:t>
      </w:r>
    </w:p>
    <w:p w14:paraId="1EC57996"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color w:val="000000"/>
          <w:sz w:val="20"/>
          <w:szCs w:val="20"/>
        </w:rPr>
      </w:pPr>
      <w:r>
        <w:rPr>
          <w:rFonts w:ascii="Arial" w:eastAsia="Arial" w:hAnsi="Arial" w:cs="Arial"/>
          <w:b/>
          <w:color w:val="000000"/>
          <w:sz w:val="20"/>
          <w:szCs w:val="20"/>
        </w:rPr>
        <w:t>Mecanismos formais de comunicação</w:t>
      </w:r>
    </w:p>
    <w:p w14:paraId="18D63AA6"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São definidos como mecanismos formais de comunicação, entre a Contratante e o Contratado, os seguintes:</w:t>
      </w:r>
    </w:p>
    <w:p w14:paraId="6D94ACE5"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Ordem de Serviço;</w:t>
      </w:r>
    </w:p>
    <w:p w14:paraId="7BB9CF0A"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Ata de Reunião;</w:t>
      </w:r>
    </w:p>
    <w:p w14:paraId="2248AA98"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Ofício;</w:t>
      </w:r>
    </w:p>
    <w:p w14:paraId="58C55BB7"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Sistema de abertura de chamados;</w:t>
      </w:r>
    </w:p>
    <w:p w14:paraId="265C54CC"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E-mails e Cartas;</w:t>
      </w:r>
    </w:p>
    <w:p w14:paraId="3F2DDD5E"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sz w:val="20"/>
          <w:szCs w:val="20"/>
        </w:rPr>
        <w:t>Aplicativo de mensagens</w:t>
      </w:r>
      <w:r>
        <w:rPr>
          <w:rFonts w:ascii="Arial" w:eastAsia="Arial" w:hAnsi="Arial" w:cs="Arial"/>
          <w:color w:val="000000"/>
          <w:sz w:val="20"/>
          <w:szCs w:val="20"/>
        </w:rPr>
        <w:t>.</w:t>
      </w:r>
    </w:p>
    <w:p w14:paraId="5D922F05"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color w:val="000000"/>
          <w:sz w:val="20"/>
          <w:szCs w:val="20"/>
        </w:rPr>
      </w:pPr>
      <w:r>
        <w:rPr>
          <w:rFonts w:ascii="Arial" w:eastAsia="Arial" w:hAnsi="Arial" w:cs="Arial"/>
          <w:b/>
          <w:color w:val="000000"/>
          <w:sz w:val="20"/>
          <w:szCs w:val="20"/>
        </w:rPr>
        <w:lastRenderedPageBreak/>
        <w:t>Formas de Pagamento</w:t>
      </w:r>
    </w:p>
    <w:p w14:paraId="4C22C4C8"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critérios de medição e pagamento dos serviços prestados serão tratados em tópico próprio do Modelo de Gestão do Contrato.</w:t>
      </w:r>
    </w:p>
    <w:p w14:paraId="6CE4110F"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color w:val="000000"/>
          <w:sz w:val="20"/>
          <w:szCs w:val="20"/>
        </w:rPr>
      </w:pPr>
      <w:bookmarkStart w:id="1" w:name="_heading=h.1fob9te" w:colFirst="0" w:colLast="0"/>
      <w:bookmarkEnd w:id="1"/>
      <w:r>
        <w:rPr>
          <w:rFonts w:ascii="Arial" w:eastAsia="Arial" w:hAnsi="Arial" w:cs="Arial"/>
          <w:b/>
          <w:color w:val="000000"/>
          <w:sz w:val="20"/>
          <w:szCs w:val="20"/>
        </w:rPr>
        <w:t>Manutenção de Sigilo e Normas de Segurança</w:t>
      </w:r>
    </w:p>
    <w:p w14:paraId="046F5594"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Contratado deverá manter sigilo absoluto sobre quaisquer dados e informações contidos em quaisquer documentos e mídias, incluindo os equipamentos e seus meios de armazenamento, de que venha a ter conhecimento du</w:t>
      </w:r>
      <w:r>
        <w:rPr>
          <w:rFonts w:ascii="Arial" w:eastAsia="Arial" w:hAnsi="Arial" w:cs="Arial"/>
          <w:color w:val="000000"/>
          <w:sz w:val="20"/>
          <w:szCs w:val="20"/>
        </w:rPr>
        <w:t>rante a execução dos serviços, não podendo, sob qualquer pretexto, divulgar, reproduzir ou utilizar, sob pena de lei, independentemente da classificação de sigilo conferida pelo Contratante a tais documentos.</w:t>
      </w:r>
    </w:p>
    <w:p w14:paraId="3E32BC3F"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 xml:space="preserve">O Termo de Compromisso e Manutenção de Sigilo, </w:t>
      </w:r>
      <w:r>
        <w:rPr>
          <w:rFonts w:ascii="Arial" w:eastAsia="Arial" w:hAnsi="Arial" w:cs="Arial"/>
          <w:color w:val="000000"/>
          <w:sz w:val="20"/>
          <w:szCs w:val="20"/>
        </w:rPr>
        <w:t>contendo declaração de manutenção de sigilo e respeito às normas de segurança vigentes na entidade, a ser assinado pelo representante legal do Contratado, e Termo de Ciência, a ser assinado por todos os empregados do Contratado diretamente envolvidos na co</w:t>
      </w:r>
      <w:r>
        <w:rPr>
          <w:rFonts w:ascii="Arial" w:eastAsia="Arial" w:hAnsi="Arial" w:cs="Arial"/>
          <w:color w:val="000000"/>
          <w:sz w:val="20"/>
          <w:szCs w:val="20"/>
        </w:rPr>
        <w:t>ntratação, enco</w:t>
      </w:r>
      <w:r>
        <w:rPr>
          <w:rFonts w:ascii="Arial" w:eastAsia="Arial" w:hAnsi="Arial" w:cs="Arial"/>
          <w:color w:val="000000"/>
          <w:sz w:val="20"/>
          <w:szCs w:val="20"/>
        </w:rPr>
        <w:t xml:space="preserve">ntram-se nos ANEXOS </w:t>
      </w:r>
      <w:r>
        <w:rPr>
          <w:rFonts w:ascii="Arial" w:eastAsia="Arial" w:hAnsi="Arial" w:cs="Arial"/>
          <w:sz w:val="20"/>
          <w:szCs w:val="20"/>
        </w:rPr>
        <w:t>III</w:t>
      </w:r>
      <w:r>
        <w:rPr>
          <w:rFonts w:ascii="Arial" w:eastAsia="Arial" w:hAnsi="Arial" w:cs="Arial"/>
          <w:color w:val="000000"/>
          <w:sz w:val="20"/>
          <w:szCs w:val="20"/>
        </w:rPr>
        <w:t xml:space="preserve"> e </w:t>
      </w:r>
      <w:r>
        <w:rPr>
          <w:rFonts w:ascii="Arial" w:eastAsia="Arial" w:hAnsi="Arial" w:cs="Arial"/>
          <w:sz w:val="20"/>
          <w:szCs w:val="20"/>
        </w:rPr>
        <w:t>IV</w:t>
      </w:r>
      <w:r>
        <w:rPr>
          <w:rFonts w:ascii="Arial" w:eastAsia="Arial" w:hAnsi="Arial" w:cs="Arial"/>
          <w:color w:val="000000"/>
          <w:sz w:val="20"/>
          <w:szCs w:val="20"/>
        </w:rPr>
        <w:t>.</w:t>
      </w:r>
    </w:p>
    <w:p w14:paraId="3B6CA08B" w14:textId="77777777" w:rsidR="00D62F37" w:rsidRDefault="00114804">
      <w:pPr>
        <w:keepNext/>
        <w:keepLines/>
        <w:numPr>
          <w:ilvl w:val="0"/>
          <w:numId w:val="1"/>
        </w:numPr>
        <w:pBdr>
          <w:top w:val="nil"/>
          <w:left w:val="nil"/>
          <w:bottom w:val="nil"/>
          <w:right w:val="nil"/>
          <w:between w:val="nil"/>
        </w:pBdr>
        <w:tabs>
          <w:tab w:val="left" w:pos="-709"/>
        </w:tabs>
        <w:spacing w:before="240" w:after="120" w:line="276" w:lineRule="auto"/>
        <w:jc w:val="both"/>
      </w:pPr>
      <w:r>
        <w:rPr>
          <w:rFonts w:ascii="Arial" w:eastAsia="Arial" w:hAnsi="Arial" w:cs="Arial"/>
          <w:b/>
          <w:color w:val="000000"/>
          <w:sz w:val="20"/>
          <w:szCs w:val="20"/>
        </w:rPr>
        <w:t>MODELO DE GESTÃO DO CONTRATO</w:t>
      </w:r>
    </w:p>
    <w:p w14:paraId="5157BE4D"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O contrato deverá ser executado fielmente pelas partes, de acordo com as cláusulas avençadas e as normas da Lei nº 14.133, de 2021, e cada parte responderá pelas consequências de sua inexecução total ou parcial.</w:t>
      </w:r>
    </w:p>
    <w:p w14:paraId="2E2C6697"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Em caso de impedimento, ordem de paralisação</w:t>
      </w:r>
      <w:r>
        <w:rPr>
          <w:rFonts w:ascii="Arial" w:eastAsia="Arial" w:hAnsi="Arial" w:cs="Arial"/>
          <w:color w:val="000000"/>
          <w:sz w:val="20"/>
          <w:szCs w:val="20"/>
        </w:rPr>
        <w:t xml:space="preserve"> ou suspensão do contrato, o cronograma de execução será prorrogado automaticamente pelo tempo correspondente, anotadas tais circunstâncias mediante simples apostila.</w:t>
      </w:r>
    </w:p>
    <w:p w14:paraId="786887CB"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As comunicações entre o órgão ou entidade e o contratado devem ser realizadas por escrito</w:t>
      </w:r>
      <w:r>
        <w:rPr>
          <w:rFonts w:ascii="Arial" w:eastAsia="Arial" w:hAnsi="Arial" w:cs="Arial"/>
          <w:color w:val="000000"/>
          <w:sz w:val="20"/>
          <w:szCs w:val="20"/>
        </w:rPr>
        <w:t xml:space="preserve"> sempre que o ato exigir tal formalidade, admitindo-se o uso de mensagem eletrônica para esse fim.</w:t>
      </w:r>
    </w:p>
    <w:p w14:paraId="5D2E67E3"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O órgão ou entidade poderá convocar representante da empresa para adoção de providências que devam ser cumpridas de imediato.</w:t>
      </w:r>
    </w:p>
    <w:p w14:paraId="58545418"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color w:val="000000"/>
          <w:sz w:val="20"/>
          <w:szCs w:val="20"/>
        </w:rPr>
      </w:pPr>
      <w:r>
        <w:rPr>
          <w:rFonts w:ascii="Arial" w:eastAsia="Arial" w:hAnsi="Arial" w:cs="Arial"/>
          <w:b/>
          <w:color w:val="000000"/>
          <w:sz w:val="20"/>
          <w:szCs w:val="20"/>
        </w:rPr>
        <w:t>Preposto</w:t>
      </w:r>
    </w:p>
    <w:p w14:paraId="362AF463"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Contratada designará formalmente o preposto da empresa, antes do início da prestação dos serviços, indicando no instrum</w:t>
      </w:r>
      <w:r>
        <w:rPr>
          <w:rFonts w:ascii="Arial" w:eastAsia="Arial" w:hAnsi="Arial" w:cs="Arial"/>
          <w:color w:val="000000"/>
          <w:sz w:val="20"/>
          <w:szCs w:val="20"/>
        </w:rPr>
        <w:t>ento os poderes e deveres em relação à execução do objeto contratado.</w:t>
      </w:r>
    </w:p>
    <w:p w14:paraId="28EE4160"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Contratante poderá recusar, desde que justificadamente, a indicação ou a manutenção do preposto da empresa, hipótese em que a Contratada designará outro para o exercício da atividade</w:t>
      </w:r>
      <w:r>
        <w:rPr>
          <w:rFonts w:ascii="Arial" w:eastAsia="Arial" w:hAnsi="Arial" w:cs="Arial"/>
          <w:sz w:val="20"/>
          <w:szCs w:val="20"/>
        </w:rPr>
        <w:t>.</w:t>
      </w:r>
    </w:p>
    <w:p w14:paraId="574EB752"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color w:val="000000"/>
          <w:sz w:val="20"/>
          <w:szCs w:val="20"/>
        </w:rPr>
      </w:pPr>
      <w:r>
        <w:rPr>
          <w:rFonts w:ascii="Arial" w:eastAsia="Arial" w:hAnsi="Arial" w:cs="Arial"/>
          <w:b/>
          <w:color w:val="000000"/>
          <w:sz w:val="20"/>
          <w:szCs w:val="20"/>
        </w:rPr>
        <w:t>Re</w:t>
      </w:r>
      <w:r>
        <w:rPr>
          <w:rFonts w:ascii="Arial" w:eastAsia="Arial" w:hAnsi="Arial" w:cs="Arial"/>
          <w:b/>
          <w:color w:val="000000"/>
          <w:sz w:val="20"/>
          <w:szCs w:val="20"/>
        </w:rPr>
        <w:t>união Inicial</w:t>
      </w:r>
    </w:p>
    <w:p w14:paraId="01DBAE84"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Após a assinatura do Contrato e a nomeação do Gestor e Fiscais do Contrato, será realizada a Reunião Inicial de alinhamento com o objetivo de nivelar os entendimentos acerca das condições estabelecidas no Contrato, Edital e seus anexos, e esc</w:t>
      </w:r>
      <w:r>
        <w:rPr>
          <w:rFonts w:ascii="Arial" w:eastAsia="Arial" w:hAnsi="Arial" w:cs="Arial"/>
          <w:color w:val="000000"/>
          <w:sz w:val="20"/>
          <w:szCs w:val="20"/>
        </w:rPr>
        <w:t>larecer possíveis dúvidas acerca da execução dos serviços.</w:t>
      </w:r>
    </w:p>
    <w:p w14:paraId="63C2BCBE"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 xml:space="preserve">A reunião será realizada em conformidade com o previsto no inciso I do Art. 31 da IN SGD/ME nº 94, de 2022, e ocorrerá em até </w:t>
      </w:r>
      <w:r>
        <w:rPr>
          <w:rFonts w:ascii="Arial" w:eastAsia="Arial" w:hAnsi="Arial" w:cs="Arial"/>
          <w:sz w:val="20"/>
          <w:szCs w:val="20"/>
        </w:rPr>
        <w:t xml:space="preserve">10 </w:t>
      </w:r>
      <w:r>
        <w:rPr>
          <w:rFonts w:ascii="Arial" w:eastAsia="Arial" w:hAnsi="Arial" w:cs="Arial"/>
          <w:color w:val="000000"/>
          <w:sz w:val="20"/>
          <w:szCs w:val="20"/>
        </w:rPr>
        <w:t>(</w:t>
      </w:r>
      <w:r>
        <w:rPr>
          <w:rFonts w:ascii="Arial" w:eastAsia="Arial" w:hAnsi="Arial" w:cs="Arial"/>
          <w:sz w:val="20"/>
          <w:szCs w:val="20"/>
        </w:rPr>
        <w:t>dez</w:t>
      </w:r>
      <w:r>
        <w:rPr>
          <w:rFonts w:ascii="Arial" w:eastAsia="Arial" w:hAnsi="Arial" w:cs="Arial"/>
          <w:color w:val="000000"/>
          <w:sz w:val="20"/>
          <w:szCs w:val="20"/>
        </w:rPr>
        <w:t>) dias úteis da assinatura do Contrato, podendo ser prorrogada a</w:t>
      </w:r>
      <w:r>
        <w:rPr>
          <w:rFonts w:ascii="Arial" w:eastAsia="Arial" w:hAnsi="Arial" w:cs="Arial"/>
          <w:color w:val="000000"/>
          <w:sz w:val="20"/>
          <w:szCs w:val="20"/>
        </w:rPr>
        <w:t xml:space="preserve"> critério da Contratante.</w:t>
      </w:r>
    </w:p>
    <w:p w14:paraId="40CFA71B" w14:textId="77777777" w:rsidR="00D62F37" w:rsidRDefault="00114804">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lastRenderedPageBreak/>
        <w:t>A pauta desta reunião observará, pelo menos:</w:t>
      </w:r>
    </w:p>
    <w:p w14:paraId="794A9EBB" w14:textId="77777777" w:rsidR="00D62F37" w:rsidRDefault="00114804">
      <w:pPr>
        <w:numPr>
          <w:ilvl w:val="3"/>
          <w:numId w:val="1"/>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Presença do representante legal da contratada, que apresentará o seu preposto;</w:t>
      </w:r>
    </w:p>
    <w:p w14:paraId="3EB869AA" w14:textId="77777777" w:rsidR="00D62F37" w:rsidRDefault="00114804">
      <w:pPr>
        <w:numPr>
          <w:ilvl w:val="3"/>
          <w:numId w:val="1"/>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Entrega, por parte da Contratada, do Termo de Compromisso e dos Termos de Ciência;</w:t>
      </w:r>
    </w:p>
    <w:p w14:paraId="43BA70CE" w14:textId="77777777" w:rsidR="00D62F37" w:rsidRDefault="00114804">
      <w:pPr>
        <w:numPr>
          <w:ilvl w:val="3"/>
          <w:numId w:val="1"/>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esclarecimentos relativos a questões operacionais, administrativas e de gestão do contrato;</w:t>
      </w:r>
    </w:p>
    <w:p w14:paraId="628664B4" w14:textId="77777777" w:rsidR="00D62F37" w:rsidRDefault="00114804">
      <w:pPr>
        <w:numPr>
          <w:ilvl w:val="3"/>
          <w:numId w:val="1"/>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A Carta de apresentação do Preposto deverá conter no mínimo o nome completo e CPF</w:t>
      </w:r>
      <w:r>
        <w:rPr>
          <w:rFonts w:ascii="Arial" w:eastAsia="Arial" w:hAnsi="Arial" w:cs="Arial"/>
          <w:color w:val="000000"/>
          <w:sz w:val="20"/>
          <w:szCs w:val="20"/>
        </w:rPr>
        <w:t xml:space="preserve"> do funcionário da empresa designado para acompanhar a execução do contrato e atuar como interlocutor principal junto à Contratante, </w:t>
      </w:r>
      <w:r>
        <w:rPr>
          <w:rFonts w:ascii="Arial" w:eastAsia="Arial" w:hAnsi="Arial" w:cs="Arial"/>
          <w:color w:val="000000"/>
          <w:sz w:val="20"/>
          <w:szCs w:val="20"/>
        </w:rPr>
        <w:t>incumbido de receber, diligenciar, encaminhar e responder as principais questões técnicas, legais e administrativas referen</w:t>
      </w:r>
      <w:r>
        <w:rPr>
          <w:rFonts w:ascii="Arial" w:eastAsia="Arial" w:hAnsi="Arial" w:cs="Arial"/>
          <w:color w:val="000000"/>
          <w:sz w:val="20"/>
          <w:szCs w:val="20"/>
        </w:rPr>
        <w:t>tes ao andamento contratual;</w:t>
      </w:r>
    </w:p>
    <w:p w14:paraId="58D22D5F"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i/>
          <w:color w:val="000000"/>
        </w:rPr>
      </w:pPr>
      <w:r>
        <w:rPr>
          <w:rFonts w:ascii="Arial" w:eastAsia="Arial" w:hAnsi="Arial" w:cs="Arial"/>
          <w:b/>
          <w:color w:val="000000"/>
          <w:sz w:val="20"/>
          <w:szCs w:val="20"/>
        </w:rPr>
        <w:t>Fiscalização</w:t>
      </w:r>
    </w:p>
    <w:p w14:paraId="12238981"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A execução do contrato deverá ser acompanhada e fiscalizada pelo(s) fiscal(</w:t>
      </w:r>
      <w:proofErr w:type="spellStart"/>
      <w:r>
        <w:rPr>
          <w:rFonts w:ascii="Arial" w:eastAsia="Arial" w:hAnsi="Arial" w:cs="Arial"/>
          <w:color w:val="000000"/>
          <w:sz w:val="20"/>
          <w:szCs w:val="20"/>
        </w:rPr>
        <w:t>is</w:t>
      </w:r>
      <w:proofErr w:type="spellEnd"/>
      <w:r>
        <w:rPr>
          <w:rFonts w:ascii="Arial" w:eastAsia="Arial" w:hAnsi="Arial" w:cs="Arial"/>
          <w:color w:val="000000"/>
          <w:sz w:val="20"/>
          <w:szCs w:val="20"/>
        </w:rPr>
        <w:t>) do contrato, ou pelos respectivos substitutos (</w:t>
      </w:r>
      <w:hyperlink r:id="rId11" w:anchor="art117">
        <w:r>
          <w:rPr>
            <w:rFonts w:ascii="Arial" w:eastAsia="Arial" w:hAnsi="Arial" w:cs="Arial"/>
            <w:color w:val="000080"/>
            <w:sz w:val="20"/>
            <w:szCs w:val="20"/>
            <w:u w:val="single"/>
          </w:rPr>
          <w:t>Lei nº 14.133, de 2021, art. 117, caput</w:t>
        </w:r>
      </w:hyperlink>
      <w:r>
        <w:rPr>
          <w:rFonts w:ascii="Arial" w:eastAsia="Arial" w:hAnsi="Arial" w:cs="Arial"/>
          <w:color w:val="000000"/>
          <w:sz w:val="20"/>
          <w:szCs w:val="20"/>
        </w:rPr>
        <w:t>) , nos termos do art. 33 da IN SGD nº 94, de 2022, observando-se, em especial, as rotinas a seguir.</w:t>
      </w:r>
    </w:p>
    <w:p w14:paraId="785ED43B"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i/>
          <w:color w:val="000000"/>
          <w:sz w:val="20"/>
          <w:szCs w:val="20"/>
        </w:rPr>
      </w:pPr>
      <w:r>
        <w:rPr>
          <w:rFonts w:ascii="Arial" w:eastAsia="Arial" w:hAnsi="Arial" w:cs="Arial"/>
          <w:b/>
          <w:color w:val="000000"/>
          <w:sz w:val="20"/>
          <w:szCs w:val="20"/>
        </w:rPr>
        <w:t>Fiscalização Técnica</w:t>
      </w:r>
    </w:p>
    <w:p w14:paraId="6900C861"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O fiscal técnico do contrato, além de exercer as atribuições previstas no art. 33, II, da IN SGD nº 94, de 2022, acompanhará a execução do contrato, para que sejam cumpridas todas as condições estabelecidas no contrato, de modo a assegurar os melhores resu</w:t>
      </w:r>
      <w:r>
        <w:rPr>
          <w:rFonts w:ascii="Arial" w:eastAsia="Arial" w:hAnsi="Arial" w:cs="Arial"/>
          <w:color w:val="000000"/>
          <w:sz w:val="20"/>
          <w:szCs w:val="20"/>
        </w:rPr>
        <w:t>ltados para a Administração. (Decreto nº 11.246, de 2022, art. 22, VI);</w:t>
      </w:r>
    </w:p>
    <w:p w14:paraId="5E140F46" w14:textId="77777777" w:rsidR="00D62F37" w:rsidRDefault="00114804">
      <w:pPr>
        <w:numPr>
          <w:ilvl w:val="2"/>
          <w:numId w:val="1"/>
        </w:numPr>
        <w:pBdr>
          <w:top w:val="nil"/>
          <w:left w:val="nil"/>
          <w:bottom w:val="nil"/>
          <w:right w:val="nil"/>
          <w:between w:val="nil"/>
        </w:pBdr>
        <w:spacing w:before="120" w:after="120" w:line="276" w:lineRule="auto"/>
        <w:jc w:val="both"/>
        <w:rPr>
          <w:color w:val="000000"/>
          <w:sz w:val="20"/>
          <w:szCs w:val="20"/>
        </w:rPr>
      </w:pPr>
      <w:r>
        <w:rPr>
          <w:rFonts w:ascii="Arial" w:eastAsia="Arial" w:hAnsi="Arial" w:cs="Arial"/>
          <w:color w:val="000000"/>
          <w:sz w:val="20"/>
          <w:szCs w:val="20"/>
        </w:rPr>
        <w:t>O fiscal técnico do contrato anotará no histórico de gerenciamento do contrato todas as ocorrências relacionadas à execução do contrato, com a descrição do que for necessário para a re</w:t>
      </w:r>
      <w:r>
        <w:rPr>
          <w:rFonts w:ascii="Arial" w:eastAsia="Arial" w:hAnsi="Arial" w:cs="Arial"/>
          <w:color w:val="000000"/>
          <w:sz w:val="20"/>
          <w:szCs w:val="20"/>
        </w:rPr>
        <w:t>gularização das faltas ou dos defeitos observados. (</w:t>
      </w:r>
      <w:hyperlink r:id="rId12" w:anchor="art117%C2%A71">
        <w:r>
          <w:rPr>
            <w:rFonts w:ascii="Arial" w:eastAsia="Arial" w:hAnsi="Arial" w:cs="Arial"/>
            <w:color w:val="000080"/>
            <w:sz w:val="20"/>
            <w:szCs w:val="20"/>
            <w:u w:val="single"/>
          </w:rPr>
          <w:t>Lei nº 14.133, de 2021, art. 117, §1º</w:t>
        </w:r>
      </w:hyperlink>
      <w:r>
        <w:rPr>
          <w:rFonts w:ascii="Arial" w:eastAsia="Arial" w:hAnsi="Arial" w:cs="Arial"/>
          <w:color w:val="000000"/>
          <w:sz w:val="20"/>
          <w:szCs w:val="20"/>
        </w:rPr>
        <w:t xml:space="preserve">, e </w:t>
      </w:r>
      <w:hyperlink r:id="rId13" w:anchor="art22">
        <w:r>
          <w:rPr>
            <w:rFonts w:ascii="Arial" w:eastAsia="Arial" w:hAnsi="Arial" w:cs="Arial"/>
            <w:color w:val="000080"/>
            <w:sz w:val="20"/>
            <w:szCs w:val="20"/>
            <w:u w:val="single"/>
          </w:rPr>
          <w:t>Decreto nº 11.246, de 2022, art. 22, II</w:t>
        </w:r>
      </w:hyperlink>
      <w:r>
        <w:rPr>
          <w:rFonts w:ascii="Arial" w:eastAsia="Arial" w:hAnsi="Arial" w:cs="Arial"/>
          <w:color w:val="000080"/>
          <w:sz w:val="20"/>
          <w:szCs w:val="20"/>
          <w:u w:val="single"/>
        </w:rPr>
        <w:t>);</w:t>
      </w:r>
    </w:p>
    <w:p w14:paraId="429AC8B2" w14:textId="77777777" w:rsidR="00D62F37" w:rsidRDefault="00114804">
      <w:pPr>
        <w:numPr>
          <w:ilvl w:val="2"/>
          <w:numId w:val="1"/>
        </w:numPr>
        <w:pBdr>
          <w:top w:val="nil"/>
          <w:left w:val="nil"/>
          <w:bottom w:val="nil"/>
          <w:right w:val="nil"/>
          <w:between w:val="nil"/>
        </w:pBdr>
        <w:spacing w:before="120" w:after="120" w:line="276" w:lineRule="auto"/>
        <w:jc w:val="both"/>
        <w:rPr>
          <w:color w:val="000000"/>
          <w:sz w:val="20"/>
          <w:szCs w:val="20"/>
        </w:rPr>
      </w:pPr>
      <w:r>
        <w:rPr>
          <w:rFonts w:ascii="Arial" w:eastAsia="Arial" w:hAnsi="Arial" w:cs="Arial"/>
          <w:color w:val="000000"/>
          <w:sz w:val="20"/>
          <w:szCs w:val="20"/>
        </w:rPr>
        <w:t xml:space="preserve">Identificada qualquer inexatidão ou irregularidade, o fiscal técnico do contrato emitirá notificações para a correção da execução do contrato, determinando prazo </w:t>
      </w:r>
      <w:r>
        <w:rPr>
          <w:rFonts w:ascii="Arial" w:eastAsia="Arial" w:hAnsi="Arial" w:cs="Arial"/>
          <w:color w:val="000000"/>
          <w:sz w:val="20"/>
          <w:szCs w:val="20"/>
        </w:rPr>
        <w:t>para a correção. (</w:t>
      </w:r>
      <w:hyperlink r:id="rId14" w:anchor="art22">
        <w:r>
          <w:rPr>
            <w:rFonts w:ascii="Arial" w:eastAsia="Arial" w:hAnsi="Arial" w:cs="Arial"/>
            <w:color w:val="000080"/>
            <w:sz w:val="20"/>
            <w:szCs w:val="20"/>
            <w:u w:val="single"/>
          </w:rPr>
          <w:t>Decreto nº 11.246, de 2022, art. 22, III</w:t>
        </w:r>
      </w:hyperlink>
      <w:r>
        <w:rPr>
          <w:rFonts w:ascii="Arial" w:eastAsia="Arial" w:hAnsi="Arial" w:cs="Arial"/>
          <w:color w:val="000000"/>
          <w:sz w:val="20"/>
          <w:szCs w:val="20"/>
        </w:rPr>
        <w:t>);</w:t>
      </w:r>
    </w:p>
    <w:p w14:paraId="47122D74" w14:textId="77777777" w:rsidR="00D62F37" w:rsidRDefault="00114804">
      <w:pPr>
        <w:numPr>
          <w:ilvl w:val="2"/>
          <w:numId w:val="1"/>
        </w:numPr>
        <w:pBdr>
          <w:top w:val="nil"/>
          <w:left w:val="nil"/>
          <w:bottom w:val="nil"/>
          <w:right w:val="nil"/>
          <w:between w:val="nil"/>
        </w:pBdr>
        <w:spacing w:before="120" w:after="120" w:line="276" w:lineRule="auto"/>
        <w:jc w:val="both"/>
        <w:rPr>
          <w:color w:val="000000"/>
          <w:sz w:val="20"/>
          <w:szCs w:val="20"/>
        </w:rPr>
      </w:pPr>
      <w:r>
        <w:rPr>
          <w:rFonts w:ascii="Arial" w:eastAsia="Arial" w:hAnsi="Arial" w:cs="Arial"/>
          <w:color w:val="000000"/>
          <w:sz w:val="20"/>
          <w:szCs w:val="20"/>
        </w:rPr>
        <w:t xml:space="preserve">O fiscal técnico do contrato informará ao gestor do </w:t>
      </w:r>
      <w:r>
        <w:rPr>
          <w:rFonts w:ascii="Arial" w:eastAsia="Arial" w:hAnsi="Arial" w:cs="Arial"/>
          <w:sz w:val="20"/>
          <w:szCs w:val="20"/>
        </w:rPr>
        <w:t>contrato</w:t>
      </w:r>
      <w:r>
        <w:rPr>
          <w:rFonts w:ascii="Arial" w:eastAsia="Arial" w:hAnsi="Arial" w:cs="Arial"/>
          <w:color w:val="000000"/>
          <w:sz w:val="20"/>
          <w:szCs w:val="20"/>
        </w:rPr>
        <w:t xml:space="preserve">, em tempo hábil, a situação </w:t>
      </w:r>
      <w:r>
        <w:rPr>
          <w:rFonts w:ascii="Arial" w:eastAsia="Arial" w:hAnsi="Arial" w:cs="Arial"/>
          <w:color w:val="000000"/>
          <w:sz w:val="20"/>
          <w:szCs w:val="20"/>
        </w:rPr>
        <w:t>que demandar decisão ou adoção de medidas que ultrapassem sua competência, para que adote as medidas necessárias e saneadoras, se for o caso. (</w:t>
      </w:r>
      <w:hyperlink r:id="rId15" w:anchor="art22">
        <w:r>
          <w:rPr>
            <w:rFonts w:ascii="Arial" w:eastAsia="Arial" w:hAnsi="Arial" w:cs="Arial"/>
            <w:color w:val="000080"/>
            <w:sz w:val="20"/>
            <w:szCs w:val="20"/>
            <w:u w:val="single"/>
          </w:rPr>
          <w:t>Decreto</w:t>
        </w:r>
        <w:r>
          <w:rPr>
            <w:rFonts w:ascii="Arial" w:eastAsia="Arial" w:hAnsi="Arial" w:cs="Arial"/>
            <w:color w:val="000080"/>
            <w:sz w:val="20"/>
            <w:szCs w:val="20"/>
            <w:u w:val="single"/>
          </w:rPr>
          <w:t xml:space="preserve"> nº 11.246, de 2022, art. 22, IV</w:t>
        </w:r>
      </w:hyperlink>
      <w:r>
        <w:rPr>
          <w:rFonts w:ascii="Arial" w:eastAsia="Arial" w:hAnsi="Arial" w:cs="Arial"/>
          <w:color w:val="000000"/>
          <w:sz w:val="20"/>
          <w:szCs w:val="20"/>
        </w:rPr>
        <w:t>).</w:t>
      </w:r>
    </w:p>
    <w:p w14:paraId="1F669E59" w14:textId="77777777" w:rsidR="00D62F37" w:rsidRDefault="00114804">
      <w:pPr>
        <w:numPr>
          <w:ilvl w:val="2"/>
          <w:numId w:val="1"/>
        </w:numPr>
        <w:pBdr>
          <w:top w:val="nil"/>
          <w:left w:val="nil"/>
          <w:bottom w:val="nil"/>
          <w:right w:val="nil"/>
          <w:between w:val="nil"/>
        </w:pBdr>
        <w:spacing w:before="120" w:after="120" w:line="276" w:lineRule="auto"/>
        <w:jc w:val="both"/>
        <w:rPr>
          <w:color w:val="000000"/>
          <w:sz w:val="20"/>
          <w:szCs w:val="20"/>
        </w:rPr>
      </w:pPr>
      <w:r>
        <w:rPr>
          <w:rFonts w:ascii="Arial" w:eastAsia="Arial" w:hAnsi="Arial" w:cs="Arial"/>
          <w:color w:val="000000"/>
          <w:sz w:val="20"/>
          <w:szCs w:val="20"/>
        </w:rPr>
        <w:t>No caso de ocorrências que possam inviabilizar a execução do contrato nas datas aprazadas, o fiscal técnico do contrato comunicará o fato imediatamente ao gestor do contrato. (</w:t>
      </w:r>
      <w:hyperlink r:id="rId16" w:anchor="art22">
        <w:r>
          <w:rPr>
            <w:rFonts w:ascii="Arial" w:eastAsia="Arial" w:hAnsi="Arial" w:cs="Arial"/>
            <w:color w:val="000080"/>
            <w:sz w:val="20"/>
            <w:szCs w:val="20"/>
            <w:u w:val="single"/>
          </w:rPr>
          <w:t>D</w:t>
        </w:r>
      </w:hyperlink>
      <w:r>
        <w:rPr>
          <w:rFonts w:ascii="Arial" w:eastAsia="Arial" w:hAnsi="Arial" w:cs="Arial"/>
          <w:color w:val="000080"/>
          <w:sz w:val="20"/>
          <w:szCs w:val="20"/>
          <w:u w:val="single"/>
        </w:rPr>
        <w:t>ecreto nº 11.246, de 2022, art. 22, V</w:t>
      </w:r>
      <w:r>
        <w:rPr>
          <w:rFonts w:ascii="Arial" w:eastAsia="Arial" w:hAnsi="Arial" w:cs="Arial"/>
          <w:color w:val="000000"/>
          <w:sz w:val="20"/>
          <w:szCs w:val="20"/>
        </w:rPr>
        <w:t>).</w:t>
      </w:r>
    </w:p>
    <w:p w14:paraId="3ED582B1" w14:textId="77777777" w:rsidR="00D62F37" w:rsidRDefault="00114804">
      <w:pPr>
        <w:numPr>
          <w:ilvl w:val="2"/>
          <w:numId w:val="1"/>
        </w:numPr>
        <w:pBdr>
          <w:top w:val="nil"/>
          <w:left w:val="nil"/>
          <w:bottom w:val="nil"/>
          <w:right w:val="nil"/>
          <w:between w:val="nil"/>
        </w:pBdr>
        <w:spacing w:before="120" w:after="120" w:line="276" w:lineRule="auto"/>
        <w:jc w:val="both"/>
        <w:rPr>
          <w:color w:val="000000"/>
          <w:sz w:val="20"/>
          <w:szCs w:val="20"/>
        </w:rPr>
      </w:pPr>
      <w:r>
        <w:rPr>
          <w:rFonts w:ascii="Arial" w:eastAsia="Arial" w:hAnsi="Arial" w:cs="Arial"/>
          <w:color w:val="000000"/>
          <w:sz w:val="20"/>
          <w:szCs w:val="20"/>
        </w:rPr>
        <w:t>O fiscal técnico do contrato comunicará ao gestor do contrato, em tempo hábil, o término do contrato sob sua re</w:t>
      </w:r>
      <w:r>
        <w:rPr>
          <w:rFonts w:ascii="Arial" w:eastAsia="Arial" w:hAnsi="Arial" w:cs="Arial"/>
          <w:color w:val="000000"/>
          <w:sz w:val="20"/>
          <w:szCs w:val="20"/>
        </w:rPr>
        <w:t xml:space="preserve">sponsabilidade, com vistas à renovação tempestiva ou à prorrogação contratual </w:t>
      </w:r>
      <w:hyperlink r:id="rId17" w:anchor="art22">
        <w:r>
          <w:rPr>
            <w:rFonts w:ascii="Arial" w:eastAsia="Arial" w:hAnsi="Arial" w:cs="Arial"/>
            <w:color w:val="000080"/>
            <w:sz w:val="20"/>
            <w:szCs w:val="20"/>
            <w:u w:val="single"/>
          </w:rPr>
          <w:t>(Decreto nº 11.246, de 2022, art. 22, VII</w:t>
        </w:r>
      </w:hyperlink>
      <w:r>
        <w:rPr>
          <w:rFonts w:ascii="Arial" w:eastAsia="Arial" w:hAnsi="Arial" w:cs="Arial"/>
          <w:color w:val="000000"/>
          <w:sz w:val="20"/>
          <w:szCs w:val="20"/>
        </w:rPr>
        <w:t>).</w:t>
      </w:r>
    </w:p>
    <w:p w14:paraId="20038949"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i/>
          <w:color w:val="000000"/>
          <w:sz w:val="20"/>
          <w:szCs w:val="20"/>
        </w:rPr>
      </w:pPr>
      <w:r>
        <w:rPr>
          <w:rFonts w:ascii="Arial" w:eastAsia="Arial" w:hAnsi="Arial" w:cs="Arial"/>
          <w:b/>
          <w:color w:val="000000"/>
          <w:sz w:val="20"/>
          <w:szCs w:val="20"/>
        </w:rPr>
        <w:lastRenderedPageBreak/>
        <w:t>Fiscalização Administrativa</w:t>
      </w:r>
    </w:p>
    <w:p w14:paraId="42B665D9"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O fiscal administrativo do contrato, além de exercer as atribuições previstas no art. 33, IV, da IN SGD nº 94, de 2022, verificará a manutenção das condições de habilitação do contratado, acompanhará o empenho, o pagamento, as garantias, as glosas e a form</w:t>
      </w:r>
      <w:r>
        <w:rPr>
          <w:rFonts w:ascii="Arial" w:eastAsia="Arial" w:hAnsi="Arial" w:cs="Arial"/>
          <w:color w:val="000000"/>
          <w:sz w:val="20"/>
          <w:szCs w:val="20"/>
        </w:rPr>
        <w:t>alização de apostilamento e termos aditivos, solicitando quaisquer documentos comprobatórios pertinentes, caso necessário (</w:t>
      </w:r>
      <w:hyperlink r:id="rId18" w:anchor="art23">
        <w:r>
          <w:rPr>
            <w:rFonts w:ascii="Arial" w:eastAsia="Arial" w:hAnsi="Arial" w:cs="Arial"/>
            <w:color w:val="000080"/>
            <w:sz w:val="20"/>
            <w:szCs w:val="20"/>
            <w:u w:val="single"/>
          </w:rPr>
          <w:t>Art. 23, I e II, do Decreto</w:t>
        </w:r>
        <w:r>
          <w:rPr>
            <w:rFonts w:ascii="Arial" w:eastAsia="Arial" w:hAnsi="Arial" w:cs="Arial"/>
            <w:color w:val="000080"/>
            <w:sz w:val="20"/>
            <w:szCs w:val="20"/>
            <w:u w:val="single"/>
          </w:rPr>
          <w:t xml:space="preserve"> nº 11.246, de 2022</w:t>
        </w:r>
      </w:hyperlink>
      <w:r>
        <w:rPr>
          <w:rFonts w:ascii="Arial" w:eastAsia="Arial" w:hAnsi="Arial" w:cs="Arial"/>
          <w:color w:val="000000"/>
          <w:sz w:val="20"/>
          <w:szCs w:val="20"/>
        </w:rPr>
        <w:t>).</w:t>
      </w:r>
    </w:p>
    <w:p w14:paraId="6A6E15BD" w14:textId="77777777" w:rsidR="00D62F37" w:rsidRDefault="00114804">
      <w:pPr>
        <w:numPr>
          <w:ilvl w:val="2"/>
          <w:numId w:val="1"/>
        </w:numPr>
        <w:pBdr>
          <w:top w:val="nil"/>
          <w:left w:val="nil"/>
          <w:bottom w:val="nil"/>
          <w:right w:val="nil"/>
          <w:between w:val="nil"/>
        </w:pBdr>
        <w:spacing w:before="120" w:after="120" w:line="276" w:lineRule="auto"/>
        <w:jc w:val="both"/>
        <w:rPr>
          <w:color w:val="000000"/>
          <w:sz w:val="20"/>
          <w:szCs w:val="20"/>
        </w:rPr>
      </w:pPr>
      <w:r>
        <w:rPr>
          <w:rFonts w:ascii="Arial" w:eastAsia="Arial" w:hAnsi="Arial" w:cs="Arial"/>
          <w:color w:val="000000"/>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19" w:anchor="art23">
        <w:r>
          <w:rPr>
            <w:rFonts w:ascii="Arial" w:eastAsia="Arial" w:hAnsi="Arial" w:cs="Arial"/>
            <w:color w:val="000080"/>
            <w:sz w:val="20"/>
            <w:szCs w:val="20"/>
            <w:u w:val="single"/>
          </w:rPr>
          <w:t>Decreto nº 11.246, de 2022, art. 23, IV</w:t>
        </w:r>
      </w:hyperlink>
      <w:r>
        <w:rPr>
          <w:rFonts w:ascii="Arial" w:eastAsia="Arial" w:hAnsi="Arial" w:cs="Arial"/>
          <w:color w:val="000000"/>
          <w:sz w:val="20"/>
          <w:szCs w:val="20"/>
        </w:rPr>
        <w:t>).</w:t>
      </w:r>
    </w:p>
    <w:p w14:paraId="1C44E0AF"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color w:val="000000"/>
          <w:sz w:val="20"/>
          <w:szCs w:val="20"/>
        </w:rPr>
      </w:pPr>
      <w:r>
        <w:rPr>
          <w:rFonts w:ascii="Arial" w:eastAsia="Arial" w:hAnsi="Arial" w:cs="Arial"/>
          <w:b/>
          <w:color w:val="000000"/>
          <w:sz w:val="20"/>
          <w:szCs w:val="20"/>
        </w:rPr>
        <w:t xml:space="preserve">Gestor do Contrato </w:t>
      </w:r>
    </w:p>
    <w:p w14:paraId="196C5811"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O gestor do contrato, além de exercer as atribuições previstas no art. 33, I, da IN SGD nº 94, de 2022, coordenará a atualização do processo de acompanhamento e fiscalização do contrato contendo todos os registros formais da execução no histórico de gerenc</w:t>
      </w:r>
      <w:r>
        <w:rPr>
          <w:rFonts w:ascii="Arial" w:eastAsia="Arial" w:hAnsi="Arial" w:cs="Arial"/>
          <w:color w:val="000000"/>
          <w:sz w:val="20"/>
          <w:szCs w:val="20"/>
        </w:rPr>
        <w:t xml:space="preserve">iamento do contrato, a exemplo da ordem de serviço, do registro de ocorrências, das alterações e das prorrogações contratuais, elaborando relatório com vistas à verificação da necessidade de adequações do contrato para fins de atendimento da finalidade da </w:t>
      </w:r>
      <w:r>
        <w:rPr>
          <w:rFonts w:ascii="Arial" w:eastAsia="Arial" w:hAnsi="Arial" w:cs="Arial"/>
          <w:color w:val="000000"/>
          <w:sz w:val="20"/>
          <w:szCs w:val="20"/>
        </w:rPr>
        <w:t>administração. (</w:t>
      </w:r>
      <w:hyperlink r:id="rId20" w:anchor="art21">
        <w:r>
          <w:rPr>
            <w:rFonts w:ascii="Arial" w:eastAsia="Arial" w:hAnsi="Arial" w:cs="Arial"/>
            <w:color w:val="000080"/>
            <w:sz w:val="20"/>
            <w:szCs w:val="20"/>
            <w:u w:val="single"/>
          </w:rPr>
          <w:t>Decreto nº 11.246, de 2022, art. 21, IV</w:t>
        </w:r>
      </w:hyperlink>
      <w:r>
        <w:rPr>
          <w:rFonts w:ascii="Arial" w:eastAsia="Arial" w:hAnsi="Arial" w:cs="Arial"/>
          <w:color w:val="000000"/>
          <w:sz w:val="20"/>
          <w:szCs w:val="20"/>
        </w:rPr>
        <w:t>).</w:t>
      </w:r>
    </w:p>
    <w:p w14:paraId="6C7B4A62"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O gestor do contrato acompanhará os registros realizados pelos fiscais do contrato, de todas</w:t>
      </w:r>
      <w:r>
        <w:rPr>
          <w:rFonts w:ascii="Arial" w:eastAsia="Arial" w:hAnsi="Arial" w:cs="Arial"/>
          <w:color w:val="000000"/>
          <w:sz w:val="20"/>
          <w:szCs w:val="20"/>
        </w:rPr>
        <w:t xml:space="preserve"> as ocorrências relacionadas à execução do contrato e as medidas adotadas, informando, se for o caso, à autoridade superior àquelas que ultrapassarem a sua competência. (</w:t>
      </w:r>
      <w:hyperlink r:id="rId21" w:anchor="art21">
        <w:r>
          <w:rPr>
            <w:rFonts w:ascii="Arial" w:eastAsia="Arial" w:hAnsi="Arial" w:cs="Arial"/>
            <w:color w:val="000080"/>
            <w:sz w:val="20"/>
            <w:szCs w:val="20"/>
            <w:u w:val="single"/>
          </w:rPr>
          <w:t>Decreto nº 11.246, de 2022, art. 21, II</w:t>
        </w:r>
      </w:hyperlink>
      <w:r>
        <w:rPr>
          <w:rFonts w:ascii="Arial" w:eastAsia="Arial" w:hAnsi="Arial" w:cs="Arial"/>
          <w:color w:val="000000"/>
          <w:sz w:val="20"/>
          <w:szCs w:val="20"/>
        </w:rPr>
        <w:t xml:space="preserve">). </w:t>
      </w:r>
    </w:p>
    <w:p w14:paraId="50E17302"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O gestor do contrato acompanhará a manutenção das condições de habilitação do contratado, para fins de empenho de despesa e pagamento, e anotará os problemas que obstem o fluxo normal da liquid</w:t>
      </w:r>
      <w:r>
        <w:rPr>
          <w:rFonts w:ascii="Arial" w:eastAsia="Arial" w:hAnsi="Arial" w:cs="Arial"/>
          <w:color w:val="000000"/>
          <w:sz w:val="20"/>
          <w:szCs w:val="20"/>
        </w:rPr>
        <w:t>ação e do pagamento da despesa no relatório de riscos eventuais. (</w:t>
      </w:r>
      <w:hyperlink r:id="rId22" w:anchor="art21">
        <w:r>
          <w:rPr>
            <w:rFonts w:ascii="Arial" w:eastAsia="Arial" w:hAnsi="Arial" w:cs="Arial"/>
            <w:color w:val="000080"/>
            <w:sz w:val="20"/>
            <w:szCs w:val="20"/>
            <w:u w:val="single"/>
          </w:rPr>
          <w:t>Decreto nº 11.246, de 2022, art. 21, III</w:t>
        </w:r>
      </w:hyperlink>
      <w:r>
        <w:rPr>
          <w:rFonts w:ascii="Arial" w:eastAsia="Arial" w:hAnsi="Arial" w:cs="Arial"/>
          <w:color w:val="000000"/>
          <w:sz w:val="20"/>
          <w:szCs w:val="20"/>
        </w:rPr>
        <w:t>).</w:t>
      </w:r>
    </w:p>
    <w:p w14:paraId="7405F2A8"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O gestor do contrato emitirá documento co</w:t>
      </w:r>
      <w:r>
        <w:rPr>
          <w:rFonts w:ascii="Arial" w:eastAsia="Arial" w:hAnsi="Arial" w:cs="Arial"/>
          <w:color w:val="000000"/>
          <w:sz w:val="20"/>
          <w:szCs w:val="20"/>
        </w:rPr>
        <w:t xml:space="preserve">mprobatório da avaliação realizada pelos fiscais técnico, administrativo </w:t>
      </w:r>
      <w:r>
        <w:rPr>
          <w:rFonts w:ascii="Arial" w:eastAsia="Arial" w:hAnsi="Arial" w:cs="Arial"/>
          <w:strike/>
          <w:color w:val="000000"/>
          <w:sz w:val="20"/>
          <w:szCs w:val="20"/>
        </w:rPr>
        <w:t>e setorial</w:t>
      </w:r>
      <w:r>
        <w:rPr>
          <w:rFonts w:ascii="Arial" w:eastAsia="Arial" w:hAnsi="Arial" w:cs="Arial"/>
          <w:color w:val="000000"/>
          <w:sz w:val="20"/>
          <w:szCs w:val="20"/>
        </w:rPr>
        <w:t xml:space="preserve"> quanto ao cumprimento de obrigações assumidas pelo contratado, com menção ao seu desempenho na execução contratual, baseado nos indicadores objetivamente definidos e aferid</w:t>
      </w:r>
      <w:r>
        <w:rPr>
          <w:rFonts w:ascii="Arial" w:eastAsia="Arial" w:hAnsi="Arial" w:cs="Arial"/>
          <w:color w:val="000000"/>
          <w:sz w:val="20"/>
          <w:szCs w:val="20"/>
        </w:rPr>
        <w:t>os, e a eventuais penalidades aplicadas, devendo constar do cadastro de atesto de cumprimento de obrigações. (</w:t>
      </w:r>
      <w:hyperlink r:id="rId23" w:anchor="art21">
        <w:r>
          <w:rPr>
            <w:rFonts w:ascii="Arial" w:eastAsia="Arial" w:hAnsi="Arial" w:cs="Arial"/>
            <w:color w:val="000080"/>
            <w:sz w:val="20"/>
            <w:szCs w:val="20"/>
            <w:u w:val="single"/>
          </w:rPr>
          <w:t>Decreto nº 11.246, de 2022, art. 21, VII</w:t>
        </w:r>
        <w:r>
          <w:rPr>
            <w:rFonts w:ascii="Arial" w:eastAsia="Arial" w:hAnsi="Arial" w:cs="Arial"/>
            <w:color w:val="000080"/>
            <w:sz w:val="20"/>
            <w:szCs w:val="20"/>
            <w:u w:val="single"/>
          </w:rPr>
          <w:t>I</w:t>
        </w:r>
      </w:hyperlink>
      <w:r>
        <w:rPr>
          <w:rFonts w:ascii="Arial" w:eastAsia="Arial" w:hAnsi="Arial" w:cs="Arial"/>
          <w:color w:val="000000"/>
          <w:sz w:val="20"/>
          <w:szCs w:val="20"/>
        </w:rPr>
        <w:t>).</w:t>
      </w:r>
    </w:p>
    <w:p w14:paraId="233B1C8E"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w:t>
      </w:r>
      <w:r>
        <w:rPr>
          <w:rFonts w:ascii="Arial" w:eastAsia="Arial" w:hAnsi="Arial" w:cs="Arial"/>
          <w:color w:val="000000"/>
          <w:sz w:val="20"/>
          <w:szCs w:val="20"/>
        </w:rPr>
        <w:t>m competência para tal, conforme o caso. (</w:t>
      </w:r>
      <w:hyperlink r:id="rId24" w:anchor="art21">
        <w:r>
          <w:rPr>
            <w:rFonts w:ascii="Arial" w:eastAsia="Arial" w:hAnsi="Arial" w:cs="Arial"/>
            <w:color w:val="000080"/>
            <w:sz w:val="20"/>
            <w:szCs w:val="20"/>
            <w:u w:val="single"/>
          </w:rPr>
          <w:t>Decreto nº 11.246, de 2022, art. 21, X</w:t>
        </w:r>
      </w:hyperlink>
      <w:r>
        <w:rPr>
          <w:rFonts w:ascii="Arial" w:eastAsia="Arial" w:hAnsi="Arial" w:cs="Arial"/>
          <w:color w:val="000000"/>
          <w:sz w:val="20"/>
          <w:szCs w:val="20"/>
        </w:rPr>
        <w:t>).</w:t>
      </w:r>
    </w:p>
    <w:p w14:paraId="2DC34170"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 xml:space="preserve">O gestor do contrato deverá </w:t>
      </w:r>
      <w:r>
        <w:rPr>
          <w:rFonts w:ascii="Arial" w:eastAsia="Arial" w:hAnsi="Arial" w:cs="Arial"/>
          <w:sz w:val="20"/>
          <w:szCs w:val="20"/>
        </w:rPr>
        <w:t>elaborar</w:t>
      </w:r>
      <w:r>
        <w:rPr>
          <w:rFonts w:ascii="Arial" w:eastAsia="Arial" w:hAnsi="Arial" w:cs="Arial"/>
          <w:color w:val="000000"/>
          <w:sz w:val="20"/>
          <w:szCs w:val="20"/>
        </w:rPr>
        <w:t xml:space="preserve"> relatório final com informaçõe</w:t>
      </w:r>
      <w:r>
        <w:rPr>
          <w:rFonts w:ascii="Arial" w:eastAsia="Arial" w:hAnsi="Arial" w:cs="Arial"/>
          <w:color w:val="000000"/>
          <w:sz w:val="20"/>
          <w:szCs w:val="20"/>
        </w:rPr>
        <w:t xml:space="preserve">s sobre a consecução dos objetivos que tenham justificado a contratação e eventuais condutas a serem adotadas para o aprimoramento das atividades da Administração. </w:t>
      </w:r>
      <w:r>
        <w:rPr>
          <w:rFonts w:ascii="Arial" w:eastAsia="Arial" w:hAnsi="Arial" w:cs="Arial"/>
          <w:color w:val="000080"/>
          <w:sz w:val="20"/>
          <w:szCs w:val="20"/>
          <w:u w:val="single"/>
        </w:rPr>
        <w:t>(Decreto nº 11.246, de 2022, art. 21, VI)</w:t>
      </w:r>
      <w:r>
        <w:rPr>
          <w:rFonts w:ascii="Arial" w:eastAsia="Arial" w:hAnsi="Arial" w:cs="Arial"/>
          <w:color w:val="000000"/>
          <w:sz w:val="20"/>
          <w:szCs w:val="20"/>
        </w:rPr>
        <w:t>.</w:t>
      </w:r>
    </w:p>
    <w:p w14:paraId="36B234F6"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6DA6A1F3" w14:textId="77777777" w:rsidR="00D62F37" w:rsidRDefault="00114804">
      <w:pPr>
        <w:keepNext/>
        <w:keepLines/>
        <w:numPr>
          <w:ilvl w:val="0"/>
          <w:numId w:val="1"/>
        </w:numPr>
        <w:pBdr>
          <w:top w:val="nil"/>
          <w:left w:val="nil"/>
          <w:bottom w:val="nil"/>
          <w:right w:val="nil"/>
          <w:between w:val="nil"/>
        </w:pBdr>
        <w:tabs>
          <w:tab w:val="left" w:pos="-709"/>
        </w:tabs>
        <w:spacing w:before="240" w:after="120" w:line="276" w:lineRule="auto"/>
        <w:jc w:val="both"/>
      </w:pPr>
      <w:r>
        <w:rPr>
          <w:rFonts w:ascii="Arial" w:eastAsia="Arial" w:hAnsi="Arial" w:cs="Arial"/>
          <w:b/>
          <w:color w:val="000000"/>
          <w:sz w:val="20"/>
          <w:szCs w:val="20"/>
        </w:rPr>
        <w:lastRenderedPageBreak/>
        <w:t>CRITÉRIOS DE MEDIÇÃO E PAGAMENTO</w:t>
      </w:r>
    </w:p>
    <w:p w14:paraId="2C9FC64A"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FF3333"/>
          <w:sz w:val="20"/>
          <w:szCs w:val="20"/>
        </w:rPr>
        <w:t xml:space="preserve"> </w:t>
      </w:r>
      <w:r>
        <w:rPr>
          <w:rFonts w:ascii="Arial" w:eastAsia="Arial" w:hAnsi="Arial" w:cs="Arial"/>
          <w:color w:val="000000"/>
          <w:sz w:val="20"/>
          <w:szCs w:val="20"/>
        </w:rPr>
        <w:t>A</w:t>
      </w:r>
      <w:r>
        <w:rPr>
          <w:rFonts w:ascii="Arial" w:eastAsia="Arial" w:hAnsi="Arial" w:cs="Arial"/>
          <w:color w:val="000000"/>
          <w:sz w:val="20"/>
          <w:szCs w:val="20"/>
        </w:rPr>
        <w:t xml:space="preserve"> avaliação da execução do objeto utilizará o Instrumento de Medição de Resultado (IMR), conforme previsto no </w:t>
      </w:r>
      <w:r>
        <w:rPr>
          <w:rFonts w:ascii="Arial" w:eastAsia="Arial" w:hAnsi="Arial" w:cs="Arial"/>
          <w:sz w:val="20"/>
          <w:szCs w:val="20"/>
        </w:rPr>
        <w:t>Apêndice II do Anexo I.</w:t>
      </w:r>
    </w:p>
    <w:p w14:paraId="0886C4A7"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Será indicada a retenção ou glosa no pagamento, proporcional à irregularidade verificada, sem prejuízo das sanções cabíveis</w:t>
      </w:r>
      <w:r>
        <w:rPr>
          <w:rFonts w:ascii="Arial" w:eastAsia="Arial" w:hAnsi="Arial" w:cs="Arial"/>
          <w:color w:val="000000"/>
          <w:sz w:val="20"/>
          <w:szCs w:val="20"/>
        </w:rPr>
        <w:t>, caso se constate que a Contratada:</w:t>
      </w:r>
    </w:p>
    <w:p w14:paraId="3532DDE3"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não produzir os resultados acordados;</w:t>
      </w:r>
    </w:p>
    <w:p w14:paraId="7B770F2C"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deixar de executar, ou não executar com a qualidade mínima exigida as atividades contratadas; ou</w:t>
      </w:r>
    </w:p>
    <w:p w14:paraId="218E16A7"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deixar de utilizar materiais e recursos humanos exigidos para a execução do serviço,</w:t>
      </w:r>
      <w:r>
        <w:rPr>
          <w:rFonts w:ascii="Arial" w:eastAsia="Arial" w:hAnsi="Arial" w:cs="Arial"/>
          <w:color w:val="000000"/>
          <w:sz w:val="20"/>
          <w:szCs w:val="20"/>
        </w:rPr>
        <w:t xml:space="preserve"> ou utilizá-los com qualidade ou quantidade inferior à demandada.</w:t>
      </w:r>
    </w:p>
    <w:p w14:paraId="6307CE52"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A utilização do IMR não impede a aplicação concomitante de outros mecanismos para a avaliação da prestação dos serviços.</w:t>
      </w:r>
    </w:p>
    <w:p w14:paraId="3D830ED5"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 aferição da execução contratual para fins de pagamento considerará os </w:t>
      </w:r>
      <w:r>
        <w:rPr>
          <w:rFonts w:ascii="Arial" w:eastAsia="Arial" w:hAnsi="Arial" w:cs="Arial"/>
          <w:color w:val="000000"/>
          <w:sz w:val="20"/>
          <w:szCs w:val="20"/>
        </w:rPr>
        <w:t xml:space="preserve">critérios estabelecidos no </w:t>
      </w:r>
      <w:r>
        <w:rPr>
          <w:rFonts w:ascii="Arial" w:eastAsia="Arial" w:hAnsi="Arial" w:cs="Arial"/>
          <w:sz w:val="20"/>
          <w:szCs w:val="20"/>
        </w:rPr>
        <w:t>Instrumento de Medição de Resultado (IMR), conforme previsto no Apêndice II do Anexo I.</w:t>
      </w:r>
    </w:p>
    <w:p w14:paraId="67DCE28F"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i/>
          <w:color w:val="000000"/>
          <w:sz w:val="20"/>
          <w:szCs w:val="20"/>
        </w:rPr>
      </w:pPr>
      <w:r>
        <w:rPr>
          <w:rFonts w:ascii="Arial" w:eastAsia="Arial" w:hAnsi="Arial" w:cs="Arial"/>
          <w:b/>
          <w:color w:val="000000"/>
          <w:sz w:val="20"/>
          <w:szCs w:val="20"/>
        </w:rPr>
        <w:t>Do recebimento</w:t>
      </w:r>
    </w:p>
    <w:p w14:paraId="1FEC7858"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 xml:space="preserve">Os serviços serão recebidos provisoriamente, no prazo </w:t>
      </w:r>
      <w:r>
        <w:rPr>
          <w:rFonts w:ascii="Arial" w:eastAsia="Arial" w:hAnsi="Arial" w:cs="Arial"/>
          <w:color w:val="000000"/>
          <w:sz w:val="20"/>
          <w:szCs w:val="20"/>
        </w:rPr>
        <w:t xml:space="preserve">de </w:t>
      </w:r>
      <w:r>
        <w:rPr>
          <w:rFonts w:ascii="Arial" w:eastAsia="Arial" w:hAnsi="Arial" w:cs="Arial"/>
          <w:sz w:val="20"/>
          <w:szCs w:val="20"/>
        </w:rPr>
        <w:t xml:space="preserve">5 </w:t>
      </w:r>
      <w:r>
        <w:rPr>
          <w:rFonts w:ascii="Arial" w:eastAsia="Arial" w:hAnsi="Arial" w:cs="Arial"/>
          <w:sz w:val="20"/>
          <w:szCs w:val="20"/>
        </w:rPr>
        <w:t>(</w:t>
      </w:r>
      <w:r>
        <w:rPr>
          <w:rFonts w:ascii="Arial" w:eastAsia="Arial" w:hAnsi="Arial" w:cs="Arial"/>
          <w:sz w:val="20"/>
          <w:szCs w:val="20"/>
        </w:rPr>
        <w:t>cinco</w:t>
      </w:r>
      <w:r>
        <w:rPr>
          <w:rFonts w:ascii="Arial" w:eastAsia="Arial" w:hAnsi="Arial" w:cs="Arial"/>
          <w:sz w:val="20"/>
          <w:szCs w:val="20"/>
        </w:rPr>
        <w:t>)</w:t>
      </w:r>
      <w:r>
        <w:rPr>
          <w:rFonts w:ascii="Arial" w:eastAsia="Arial" w:hAnsi="Arial" w:cs="Arial"/>
          <w:color w:val="000000"/>
          <w:sz w:val="20"/>
          <w:szCs w:val="20"/>
        </w:rPr>
        <w:t xml:space="preserve"> dias, pelos fiscais técnico e administrativo, mediante termos detalhados, quando verificado o cumprimento das exigências de caráter técnico e administrativo. (</w:t>
      </w:r>
      <w:hyperlink r:id="rId25" w:anchor="art140">
        <w:r>
          <w:rPr>
            <w:rFonts w:ascii="Arial" w:eastAsia="Arial" w:hAnsi="Arial" w:cs="Arial"/>
            <w:color w:val="000080"/>
            <w:sz w:val="20"/>
            <w:szCs w:val="20"/>
            <w:u w:val="single"/>
          </w:rPr>
          <w:t>Art. 140, I, a , da Lei nº 14.133</w:t>
        </w:r>
      </w:hyperlink>
      <w:r>
        <w:rPr>
          <w:rFonts w:ascii="Arial" w:eastAsia="Arial" w:hAnsi="Arial" w:cs="Arial"/>
          <w:color w:val="000000"/>
          <w:sz w:val="20"/>
          <w:szCs w:val="20"/>
        </w:rPr>
        <w:t xml:space="preserve"> e </w:t>
      </w:r>
      <w:hyperlink r:id="rId26" w:anchor="art22">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22, X e 23, X do Decreto nº 11.246, de 2022</w:t>
        </w:r>
      </w:hyperlink>
      <w:r>
        <w:rPr>
          <w:rFonts w:ascii="Arial" w:eastAsia="Arial" w:hAnsi="Arial" w:cs="Arial"/>
          <w:color w:val="000000"/>
          <w:sz w:val="20"/>
          <w:szCs w:val="20"/>
        </w:rPr>
        <w:t>).</w:t>
      </w:r>
    </w:p>
    <w:p w14:paraId="4DD18D21" w14:textId="77777777" w:rsidR="00D62F37" w:rsidRDefault="00114804">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O prazo da disposição acima será contado do recebimento de comunicação de cobrança oriunda do contrat</w:t>
      </w:r>
      <w:r>
        <w:rPr>
          <w:rFonts w:ascii="Arial" w:eastAsia="Arial" w:hAnsi="Arial" w:cs="Arial"/>
          <w:color w:val="000000"/>
          <w:sz w:val="20"/>
          <w:szCs w:val="20"/>
        </w:rPr>
        <w:t>ado com a comprovação da prestação dos serviços a que se referem a parcela a ser paga.</w:t>
      </w:r>
    </w:p>
    <w:p w14:paraId="7B1FF790"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O fiscal técnico do contrato realizará o recebimento provisório do objeto do contrato mediante termo detal</w:t>
      </w:r>
      <w:r>
        <w:rPr>
          <w:rFonts w:ascii="Arial" w:eastAsia="Arial" w:hAnsi="Arial" w:cs="Arial"/>
          <w:sz w:val="20"/>
          <w:szCs w:val="20"/>
        </w:rPr>
        <w:t>ha</w:t>
      </w:r>
      <w:r>
        <w:rPr>
          <w:rFonts w:ascii="Arial" w:eastAsia="Arial" w:hAnsi="Arial" w:cs="Arial"/>
          <w:sz w:val="20"/>
          <w:szCs w:val="20"/>
        </w:rPr>
        <w:t>do (</w:t>
      </w:r>
      <w:r>
        <w:rPr>
          <w:rFonts w:ascii="Arial" w:eastAsia="Arial" w:hAnsi="Arial" w:cs="Arial"/>
          <w:sz w:val="20"/>
          <w:szCs w:val="20"/>
        </w:rPr>
        <w:t>RELATÓRIO CIRCUNSTANCIADO DA FISCALIZAÇÃO TÉCNICA</w:t>
      </w:r>
      <w:r>
        <w:rPr>
          <w:rFonts w:ascii="Arial" w:eastAsia="Arial" w:hAnsi="Arial" w:cs="Arial"/>
          <w:sz w:val="20"/>
          <w:szCs w:val="20"/>
        </w:rPr>
        <w:t>)</w:t>
      </w:r>
      <w:r>
        <w:rPr>
          <w:rFonts w:ascii="Arial" w:eastAsia="Arial" w:hAnsi="Arial" w:cs="Arial"/>
          <w:sz w:val="20"/>
          <w:szCs w:val="20"/>
        </w:rPr>
        <w:t xml:space="preserve"> </w:t>
      </w:r>
      <w:r>
        <w:rPr>
          <w:rFonts w:ascii="Arial" w:eastAsia="Arial" w:hAnsi="Arial" w:cs="Arial"/>
          <w:sz w:val="20"/>
          <w:szCs w:val="20"/>
        </w:rPr>
        <w:t>qu</w:t>
      </w:r>
      <w:r>
        <w:rPr>
          <w:rFonts w:ascii="Arial" w:eastAsia="Arial" w:hAnsi="Arial" w:cs="Arial"/>
          <w:color w:val="000000"/>
          <w:sz w:val="20"/>
          <w:szCs w:val="20"/>
        </w:rPr>
        <w:t xml:space="preserve">e </w:t>
      </w:r>
      <w:r>
        <w:rPr>
          <w:rFonts w:ascii="Arial" w:eastAsia="Arial" w:hAnsi="Arial" w:cs="Arial"/>
          <w:color w:val="000000"/>
          <w:sz w:val="20"/>
          <w:szCs w:val="20"/>
        </w:rPr>
        <w:t>comprove o cumprimento das exigências de caráter técnico. (</w:t>
      </w:r>
      <w:hyperlink r:id="rId27" w:anchor="art22">
        <w:r>
          <w:rPr>
            <w:rFonts w:ascii="Arial" w:eastAsia="Arial" w:hAnsi="Arial" w:cs="Arial"/>
            <w:color w:val="000080"/>
            <w:sz w:val="20"/>
            <w:szCs w:val="20"/>
            <w:u w:val="single"/>
          </w:rPr>
          <w:t>Art. 22, X, Decreto nº 11.246, de 2022</w:t>
        </w:r>
      </w:hyperlink>
      <w:r>
        <w:rPr>
          <w:rFonts w:ascii="Arial" w:eastAsia="Arial" w:hAnsi="Arial" w:cs="Arial"/>
          <w:color w:val="000000"/>
          <w:sz w:val="20"/>
          <w:szCs w:val="20"/>
        </w:rPr>
        <w:t>).</w:t>
      </w:r>
    </w:p>
    <w:p w14:paraId="14694195"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O fis</w:t>
      </w:r>
      <w:r>
        <w:rPr>
          <w:rFonts w:ascii="Arial" w:eastAsia="Arial" w:hAnsi="Arial" w:cs="Arial"/>
          <w:color w:val="000000"/>
          <w:sz w:val="20"/>
          <w:szCs w:val="20"/>
        </w:rPr>
        <w:t>cal té</w:t>
      </w:r>
      <w:r>
        <w:rPr>
          <w:rFonts w:ascii="Arial" w:eastAsia="Arial" w:hAnsi="Arial" w:cs="Arial"/>
          <w:sz w:val="20"/>
          <w:szCs w:val="20"/>
        </w:rPr>
        <w:t>cnico</w:t>
      </w:r>
      <w:r>
        <w:rPr>
          <w:rFonts w:ascii="Arial" w:eastAsia="Arial" w:hAnsi="Arial" w:cs="Arial"/>
          <w:color w:val="000000"/>
          <w:sz w:val="20"/>
          <w:szCs w:val="20"/>
        </w:rPr>
        <w:t xml:space="preserve"> do c</w:t>
      </w:r>
      <w:r>
        <w:rPr>
          <w:rFonts w:ascii="Arial" w:eastAsia="Arial" w:hAnsi="Arial" w:cs="Arial"/>
          <w:color w:val="000000"/>
          <w:sz w:val="20"/>
          <w:szCs w:val="20"/>
        </w:rPr>
        <w:t>ontrato realizará o recebiment</w:t>
      </w:r>
      <w:r>
        <w:rPr>
          <w:rFonts w:ascii="Arial" w:eastAsia="Arial" w:hAnsi="Arial" w:cs="Arial"/>
          <w:color w:val="000000"/>
          <w:sz w:val="20"/>
          <w:szCs w:val="20"/>
        </w:rPr>
        <w:t>o provisório do objeto do contrato mediante termo detalhado que comprove o cumprimento das exigências de caráter administrativo. (</w:t>
      </w:r>
      <w:hyperlink r:id="rId28" w:anchor="art23">
        <w:r>
          <w:rPr>
            <w:rFonts w:ascii="Arial" w:eastAsia="Arial" w:hAnsi="Arial" w:cs="Arial"/>
            <w:color w:val="000080"/>
            <w:sz w:val="20"/>
            <w:szCs w:val="20"/>
            <w:u w:val="single"/>
          </w:rPr>
          <w:t>Art. 23, X, Decreto nº 11.246, de 2022</w:t>
        </w:r>
      </w:hyperlink>
      <w:r>
        <w:rPr>
          <w:rFonts w:ascii="Arial" w:eastAsia="Arial" w:hAnsi="Arial" w:cs="Arial"/>
          <w:color w:val="000000"/>
          <w:sz w:val="20"/>
          <w:szCs w:val="20"/>
        </w:rPr>
        <w:t>)</w:t>
      </w:r>
    </w:p>
    <w:p w14:paraId="2505A4C2"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 xml:space="preserve">Para efeito de recebimento provisório, ao final de cada período de faturamento, o fiscal técnico do contrato irá </w:t>
      </w:r>
      <w:r>
        <w:rPr>
          <w:rFonts w:ascii="Arial" w:eastAsia="Arial" w:hAnsi="Arial" w:cs="Arial"/>
          <w:color w:val="000000"/>
          <w:sz w:val="20"/>
          <w:szCs w:val="20"/>
        </w:rPr>
        <w:t>apurar o resultado das avaliações da execução do objeto e, se for o caso, a análise do desempenho e qualidade da prestação dos serviços realizados em consonância com os indicadores previstos, que poderá resultar no redimensionamento de valores a serem pago</w:t>
      </w:r>
      <w:r>
        <w:rPr>
          <w:rFonts w:ascii="Arial" w:eastAsia="Arial" w:hAnsi="Arial" w:cs="Arial"/>
          <w:color w:val="000000"/>
          <w:sz w:val="20"/>
          <w:szCs w:val="20"/>
        </w:rPr>
        <w:t>s à contratada, registrando em relatório a ser encaminhado ao gestor do contrato.</w:t>
      </w:r>
    </w:p>
    <w:p w14:paraId="648E5FB8"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Será considerado como ocorrido o recebimento provisório com a entre</w:t>
      </w:r>
      <w:r>
        <w:rPr>
          <w:rFonts w:ascii="Arial" w:eastAsia="Arial" w:hAnsi="Arial" w:cs="Arial"/>
          <w:color w:val="000000"/>
          <w:sz w:val="20"/>
          <w:szCs w:val="20"/>
        </w:rPr>
        <w:t xml:space="preserve">ga do termo detalhado </w:t>
      </w:r>
      <w:r>
        <w:rPr>
          <w:rFonts w:ascii="Arial" w:eastAsia="Arial" w:hAnsi="Arial" w:cs="Arial"/>
          <w:color w:val="000000"/>
          <w:sz w:val="20"/>
          <w:szCs w:val="20"/>
        </w:rPr>
        <w:t xml:space="preserve">ou, em havendo mais de um a ser feito, com a entrega do último; </w:t>
      </w:r>
    </w:p>
    <w:p w14:paraId="44FB0D5B"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w:t>
      </w:r>
      <w:r>
        <w:rPr>
          <w:rFonts w:ascii="Arial" w:eastAsia="Arial" w:hAnsi="Arial" w:cs="Arial"/>
          <w:color w:val="000000"/>
          <w:sz w:val="20"/>
          <w:szCs w:val="20"/>
        </w:rPr>
        <w:t>o não atestar a última e/ou única medição de serviços até que sejam sanadas todas as eventuais pendências que possam vir a ser apontadas no Recebimento Provisório.</w:t>
      </w:r>
    </w:p>
    <w:p w14:paraId="6E3C2B08"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lastRenderedPageBreak/>
        <w:t xml:space="preserve">A fiscalização não efetuará o ateste da última e/ou única medição de serviços até que sejam </w:t>
      </w:r>
      <w:r>
        <w:rPr>
          <w:rFonts w:ascii="Arial" w:eastAsia="Arial" w:hAnsi="Arial" w:cs="Arial"/>
          <w:color w:val="000000"/>
          <w:sz w:val="20"/>
          <w:szCs w:val="20"/>
        </w:rPr>
        <w:t>sanadas todas as eventuais pendências que possam vir a ser apontadas no Recebimento Provisório. (</w:t>
      </w:r>
      <w:hyperlink r:id="rId29" w:anchor="art119">
        <w:r>
          <w:rPr>
            <w:rFonts w:ascii="Arial" w:eastAsia="Arial" w:hAnsi="Arial" w:cs="Arial"/>
            <w:color w:val="000080"/>
            <w:sz w:val="20"/>
            <w:szCs w:val="20"/>
            <w:u w:val="single"/>
          </w:rPr>
          <w:t>Art. 119 c/c art. 140 da Lei nº 14133, de 2021</w:t>
        </w:r>
      </w:hyperlink>
      <w:r>
        <w:rPr>
          <w:rFonts w:ascii="Arial" w:eastAsia="Arial" w:hAnsi="Arial" w:cs="Arial"/>
          <w:color w:val="000000"/>
          <w:sz w:val="20"/>
          <w:szCs w:val="20"/>
        </w:rPr>
        <w:t>)</w:t>
      </w:r>
    </w:p>
    <w:p w14:paraId="154BBCFB"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O recebim</w:t>
      </w:r>
      <w:r>
        <w:rPr>
          <w:rFonts w:ascii="Arial" w:eastAsia="Arial" w:hAnsi="Arial" w:cs="Arial"/>
          <w:color w:val="000000"/>
          <w:sz w:val="20"/>
          <w:szCs w:val="20"/>
        </w:rPr>
        <w:t>ento provisório também ficará sujeito, quando cabível, à conclusão de todos os testes de campo e à entrega dos Manuais e Instruções exigíveis.</w:t>
      </w:r>
    </w:p>
    <w:p w14:paraId="159DB264"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Os serviços poderão ser rejeitados, no todo ou em parte, quando em desacordo com as especificações constantes nes</w:t>
      </w:r>
      <w:r>
        <w:rPr>
          <w:rFonts w:ascii="Arial" w:eastAsia="Arial" w:hAnsi="Arial" w:cs="Arial"/>
          <w:color w:val="000000"/>
          <w:sz w:val="20"/>
          <w:szCs w:val="20"/>
        </w:rPr>
        <w:t xml:space="preserve">te Termo de Referência e na proposta, sem prejuízo da aplicação </w:t>
      </w:r>
      <w:r>
        <w:rPr>
          <w:rFonts w:ascii="Arial" w:eastAsia="Arial" w:hAnsi="Arial" w:cs="Arial"/>
          <w:color w:val="000000"/>
          <w:sz w:val="20"/>
          <w:szCs w:val="20"/>
        </w:rPr>
        <w:t>das penalidades.</w:t>
      </w:r>
    </w:p>
    <w:p w14:paraId="5DD16B8F"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Quando a fiscalização for exercida por um único servidor, o Termo Detalhado deverá conter o registro, a análise e a conclusão acerca das ocorrências na execução do contrato, e</w:t>
      </w:r>
      <w:r>
        <w:rPr>
          <w:rFonts w:ascii="Arial" w:eastAsia="Arial" w:hAnsi="Arial" w:cs="Arial"/>
          <w:color w:val="000000"/>
          <w:sz w:val="20"/>
          <w:szCs w:val="20"/>
        </w:rPr>
        <w:t>m relação à fiscalização técnica e demais documentos que julgar necessários, devendo encaminhá-los ao gestor do contrato para recebimento definitivo.</w:t>
      </w:r>
    </w:p>
    <w:p w14:paraId="461846DC"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 xml:space="preserve">Os serviços serão recebidos definitivamente no prazo de </w:t>
      </w:r>
      <w:r>
        <w:rPr>
          <w:rFonts w:ascii="Arial" w:eastAsia="Arial" w:hAnsi="Arial" w:cs="Arial"/>
          <w:sz w:val="20"/>
          <w:szCs w:val="20"/>
        </w:rPr>
        <w:t xml:space="preserve">5 </w:t>
      </w:r>
      <w:r>
        <w:rPr>
          <w:rFonts w:ascii="Arial" w:eastAsia="Arial" w:hAnsi="Arial" w:cs="Arial"/>
          <w:sz w:val="20"/>
          <w:szCs w:val="20"/>
        </w:rPr>
        <w:t>(</w:t>
      </w:r>
      <w:r>
        <w:rPr>
          <w:rFonts w:ascii="Arial" w:eastAsia="Arial" w:hAnsi="Arial" w:cs="Arial"/>
          <w:sz w:val="20"/>
          <w:szCs w:val="20"/>
        </w:rPr>
        <w:t>cinco</w:t>
      </w:r>
      <w:r>
        <w:rPr>
          <w:rFonts w:ascii="Arial" w:eastAsia="Arial" w:hAnsi="Arial" w:cs="Arial"/>
          <w:sz w:val="20"/>
          <w:szCs w:val="20"/>
        </w:rPr>
        <w:t xml:space="preserve">) </w:t>
      </w:r>
      <w:r>
        <w:rPr>
          <w:rFonts w:ascii="Arial" w:eastAsia="Arial" w:hAnsi="Arial" w:cs="Arial"/>
          <w:color w:val="000000"/>
          <w:sz w:val="20"/>
          <w:szCs w:val="20"/>
        </w:rPr>
        <w:t>dias, contados do recebimento provisório</w:t>
      </w:r>
      <w:r>
        <w:rPr>
          <w:rFonts w:ascii="Arial" w:eastAsia="Arial" w:hAnsi="Arial" w:cs="Arial"/>
          <w:color w:val="000000"/>
          <w:sz w:val="20"/>
          <w:szCs w:val="20"/>
        </w:rPr>
        <w:t>, por servidor ou comissão designada pela autoridade competente, após a verificação da qualidade e quantidade do serviço e consequente aceitação med</w:t>
      </w:r>
      <w:r>
        <w:rPr>
          <w:rFonts w:ascii="Arial" w:eastAsia="Arial" w:hAnsi="Arial" w:cs="Arial"/>
          <w:color w:val="000000"/>
          <w:sz w:val="20"/>
          <w:szCs w:val="20"/>
        </w:rPr>
        <w:t>iante termo detalhado, obedecendo os seguintes procedimentos:</w:t>
      </w:r>
    </w:p>
    <w:p w14:paraId="2C632DB4" w14:textId="77777777" w:rsidR="00D62F37" w:rsidRDefault="00114804">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Emitir documento comprobatório da avaliação realizada pelo fisca</w:t>
      </w:r>
      <w:r>
        <w:rPr>
          <w:rFonts w:ascii="Arial" w:eastAsia="Arial" w:hAnsi="Arial" w:cs="Arial"/>
          <w:sz w:val="20"/>
          <w:szCs w:val="20"/>
        </w:rPr>
        <w:t>l</w:t>
      </w:r>
      <w:r>
        <w:rPr>
          <w:rFonts w:ascii="Arial" w:eastAsia="Arial" w:hAnsi="Arial" w:cs="Arial"/>
          <w:color w:val="000000"/>
          <w:sz w:val="20"/>
          <w:szCs w:val="20"/>
        </w:rPr>
        <w:t xml:space="preserve"> técnico</w:t>
      </w:r>
      <w:r>
        <w:rPr>
          <w:rFonts w:ascii="Arial" w:eastAsia="Arial" w:hAnsi="Arial" w:cs="Arial"/>
          <w:sz w:val="20"/>
          <w:szCs w:val="20"/>
        </w:rPr>
        <w:t>,</w:t>
      </w:r>
      <w:r>
        <w:rPr>
          <w:rFonts w:ascii="Arial" w:eastAsia="Arial" w:hAnsi="Arial" w:cs="Arial"/>
          <w:color w:val="000000"/>
          <w:sz w:val="20"/>
          <w:szCs w:val="20"/>
        </w:rPr>
        <w:t xml:space="preserve"> no cumprimento de obrigações assumidas pelo contratado, com menção ao seu desempenho na execução contratual, baseado em indicadores objetivamente definidos e aferidos, e a eventuais</w:t>
      </w:r>
      <w:r>
        <w:rPr>
          <w:rFonts w:ascii="Arial" w:eastAsia="Arial" w:hAnsi="Arial" w:cs="Arial"/>
          <w:color w:val="000000"/>
          <w:sz w:val="20"/>
          <w:szCs w:val="20"/>
        </w:rPr>
        <w:t xml:space="preserve"> penalidades aplicadas, devendo constar do cadastro de atesto de cumprimento de obrigações, conforme regulamento (</w:t>
      </w:r>
      <w:hyperlink r:id="rId30" w:anchor="art21">
        <w:r>
          <w:rPr>
            <w:rFonts w:ascii="Arial" w:eastAsia="Arial" w:hAnsi="Arial" w:cs="Arial"/>
            <w:color w:val="000080"/>
            <w:sz w:val="20"/>
            <w:szCs w:val="20"/>
            <w:u w:val="single"/>
          </w:rPr>
          <w:t xml:space="preserve">art. 21, VIII, Decreto nº 11.246, de </w:t>
        </w:r>
        <w:r>
          <w:rPr>
            <w:rFonts w:ascii="Arial" w:eastAsia="Arial" w:hAnsi="Arial" w:cs="Arial"/>
            <w:color w:val="000080"/>
            <w:sz w:val="20"/>
            <w:szCs w:val="20"/>
            <w:u w:val="single"/>
          </w:rPr>
          <w:t>2022</w:t>
        </w:r>
      </w:hyperlink>
      <w:r>
        <w:rPr>
          <w:rFonts w:ascii="Arial" w:eastAsia="Arial" w:hAnsi="Arial" w:cs="Arial"/>
          <w:color w:val="000000"/>
          <w:sz w:val="20"/>
          <w:szCs w:val="20"/>
        </w:rPr>
        <w:t>).</w:t>
      </w:r>
    </w:p>
    <w:p w14:paraId="73DD2CAD" w14:textId="77777777" w:rsidR="00D62F37" w:rsidRDefault="00114804">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Realizar a análise dos relatórios e de toda a documentação apresentada pela fiscalização e, caso haja irregularidades que impeçam a liquidação e o pagamento da despesa, indicar as cláusulas contratuais pertinentes, solicitando à Contratada, por escr</w:t>
      </w:r>
      <w:r>
        <w:rPr>
          <w:rFonts w:ascii="Arial" w:eastAsia="Arial" w:hAnsi="Arial" w:cs="Arial"/>
          <w:color w:val="000000"/>
          <w:sz w:val="20"/>
          <w:szCs w:val="20"/>
        </w:rPr>
        <w:t>ito, as respectivas correções;</w:t>
      </w:r>
    </w:p>
    <w:p w14:paraId="0707E455" w14:textId="77777777" w:rsidR="00D62F37" w:rsidRDefault="00114804">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Emitir</w:t>
      </w:r>
      <w:r>
        <w:rPr>
          <w:rFonts w:ascii="Arial" w:eastAsia="Arial" w:hAnsi="Arial" w:cs="Arial"/>
          <w:color w:val="000000"/>
          <w:sz w:val="20"/>
          <w:szCs w:val="20"/>
        </w:rPr>
        <w:t xml:space="preserve"> Termo Detalhad</w:t>
      </w:r>
      <w:r>
        <w:rPr>
          <w:rFonts w:ascii="Arial" w:eastAsia="Arial" w:hAnsi="Arial" w:cs="Arial"/>
          <w:sz w:val="20"/>
          <w:szCs w:val="20"/>
        </w:rPr>
        <w:t xml:space="preserve">o </w:t>
      </w:r>
      <w:r>
        <w:rPr>
          <w:rFonts w:ascii="Arial" w:eastAsia="Arial" w:hAnsi="Arial" w:cs="Arial"/>
          <w:sz w:val="20"/>
          <w:szCs w:val="20"/>
        </w:rPr>
        <w:t>(</w:t>
      </w:r>
      <w:r>
        <w:rPr>
          <w:rFonts w:ascii="Arial" w:eastAsia="Arial" w:hAnsi="Arial" w:cs="Arial"/>
          <w:sz w:val="20"/>
          <w:szCs w:val="20"/>
        </w:rPr>
        <w:t>TE</w:t>
      </w:r>
      <w:r>
        <w:rPr>
          <w:rFonts w:ascii="Arial" w:eastAsia="Arial" w:hAnsi="Arial" w:cs="Arial"/>
          <w:sz w:val="20"/>
          <w:szCs w:val="20"/>
          <w:shd w:val="clear" w:color="auto" w:fill="F3F3F3"/>
        </w:rPr>
        <w:t>RMO CIRCUNSTANCIADO DE RECEBIMENTO DEFIN</w:t>
      </w:r>
      <w:r>
        <w:rPr>
          <w:rFonts w:ascii="Arial" w:eastAsia="Arial" w:hAnsi="Arial" w:cs="Arial"/>
          <w:sz w:val="20"/>
          <w:szCs w:val="20"/>
        </w:rPr>
        <w:t>ITIVO</w:t>
      </w:r>
      <w:r>
        <w:rPr>
          <w:rFonts w:ascii="Arial" w:eastAsia="Arial" w:hAnsi="Arial" w:cs="Arial"/>
          <w:sz w:val="20"/>
          <w:szCs w:val="20"/>
        </w:rPr>
        <w:t>)</w:t>
      </w:r>
      <w:r>
        <w:rPr>
          <w:rFonts w:ascii="Arial" w:eastAsia="Arial" w:hAnsi="Arial" w:cs="Arial"/>
          <w:sz w:val="20"/>
          <w:szCs w:val="20"/>
        </w:rPr>
        <w:t xml:space="preserve"> para efeito de recebimento definitivo dos serviços prestados, com base nos relatórios e </w:t>
      </w:r>
      <w:r>
        <w:rPr>
          <w:rFonts w:ascii="Arial" w:eastAsia="Arial" w:hAnsi="Arial" w:cs="Arial"/>
          <w:color w:val="000000"/>
          <w:sz w:val="20"/>
          <w:szCs w:val="20"/>
        </w:rPr>
        <w:t>documentações apresenta</w:t>
      </w:r>
      <w:r>
        <w:rPr>
          <w:rFonts w:ascii="Arial" w:eastAsia="Arial" w:hAnsi="Arial" w:cs="Arial"/>
          <w:color w:val="000000"/>
          <w:sz w:val="20"/>
          <w:szCs w:val="20"/>
        </w:rPr>
        <w:t>das; e</w:t>
      </w:r>
    </w:p>
    <w:p w14:paraId="54CF518B" w14:textId="77777777" w:rsidR="00D62F37" w:rsidRDefault="00114804">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Comunicar </w:t>
      </w:r>
      <w:r>
        <w:rPr>
          <w:rFonts w:ascii="Arial" w:eastAsia="Arial" w:hAnsi="Arial" w:cs="Arial"/>
          <w:sz w:val="20"/>
          <w:szCs w:val="20"/>
        </w:rPr>
        <w:t>à empresa</w:t>
      </w:r>
      <w:r>
        <w:rPr>
          <w:rFonts w:ascii="Arial" w:eastAsia="Arial" w:hAnsi="Arial" w:cs="Arial"/>
          <w:color w:val="000000"/>
          <w:sz w:val="20"/>
          <w:szCs w:val="20"/>
        </w:rPr>
        <w:t xml:space="preserve"> para que emita a Nota Fiscal ou Fatura, com o valor exato dimensionado pela fiscalização.</w:t>
      </w:r>
    </w:p>
    <w:p w14:paraId="307811F8" w14:textId="77777777" w:rsidR="00D62F37" w:rsidRDefault="00114804">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Enviar a documentação perti</w:t>
      </w:r>
      <w:r>
        <w:rPr>
          <w:rFonts w:ascii="Arial" w:eastAsia="Arial" w:hAnsi="Arial" w:cs="Arial"/>
          <w:color w:val="000000"/>
          <w:sz w:val="20"/>
          <w:szCs w:val="20"/>
        </w:rPr>
        <w:t xml:space="preserve">nente </w:t>
      </w:r>
      <w:r>
        <w:rPr>
          <w:rFonts w:ascii="Arial" w:eastAsia="Arial" w:hAnsi="Arial" w:cs="Arial"/>
          <w:color w:val="000000"/>
          <w:sz w:val="20"/>
          <w:szCs w:val="20"/>
        </w:rPr>
        <w:t>à Coordenadoria de Administração e Execução Orçamentári</w:t>
      </w:r>
      <w:r>
        <w:rPr>
          <w:rFonts w:ascii="Arial" w:eastAsia="Arial" w:hAnsi="Arial" w:cs="Arial"/>
          <w:sz w:val="20"/>
          <w:szCs w:val="20"/>
        </w:rPr>
        <w:t>a</w:t>
      </w:r>
      <w:r>
        <w:rPr>
          <w:rFonts w:ascii="Arial" w:eastAsia="Arial" w:hAnsi="Arial" w:cs="Arial"/>
          <w:color w:val="000000"/>
          <w:sz w:val="20"/>
          <w:szCs w:val="20"/>
        </w:rPr>
        <w:t xml:space="preserve"> para a formalização dos procedimentos de liquidação e pagamento, no valor dimensionado pela fiscalização e gestão.</w:t>
      </w:r>
    </w:p>
    <w:p w14:paraId="09563415"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No caso de controvérsia sobre a execução do objeto, quanto à dimensão, qualida</w:t>
      </w:r>
      <w:r>
        <w:rPr>
          <w:rFonts w:ascii="Arial" w:eastAsia="Arial" w:hAnsi="Arial" w:cs="Arial"/>
          <w:color w:val="000000"/>
          <w:sz w:val="20"/>
          <w:szCs w:val="20"/>
        </w:rPr>
        <w:t xml:space="preserve">de e quantidade, deverá ser observado o teor do </w:t>
      </w:r>
      <w:hyperlink r:id="rId31" w:anchor="art143">
        <w:r>
          <w:rPr>
            <w:rFonts w:ascii="Arial" w:eastAsia="Arial" w:hAnsi="Arial" w:cs="Arial"/>
            <w:color w:val="000080"/>
            <w:sz w:val="20"/>
            <w:szCs w:val="20"/>
            <w:u w:val="single"/>
          </w:rPr>
          <w:t>art. 143 da Lei nº 14.133, de 2021</w:t>
        </w:r>
      </w:hyperlink>
      <w:r>
        <w:rPr>
          <w:rFonts w:ascii="Arial" w:eastAsia="Arial" w:hAnsi="Arial" w:cs="Arial"/>
          <w:color w:val="000000"/>
          <w:sz w:val="20"/>
          <w:szCs w:val="20"/>
        </w:rPr>
        <w:t>, comunicando-se à empresa para emissão de Nota Fiscal no que concerne à</w:t>
      </w:r>
      <w:r>
        <w:rPr>
          <w:rFonts w:ascii="Arial" w:eastAsia="Arial" w:hAnsi="Arial" w:cs="Arial"/>
          <w:color w:val="000000"/>
          <w:sz w:val="20"/>
          <w:szCs w:val="20"/>
        </w:rPr>
        <w:t xml:space="preserve"> parcela incontroversa da execução do objeto, para efeito de liquidação e pagamento.</w:t>
      </w:r>
    </w:p>
    <w:p w14:paraId="4B18CD10"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Nenhum prazo de recebimento ocorrerá enquanto pendente a solução, pelo contratado, de inconsistências verificadas na execução do objeto ou no instrumento de cobrança.</w:t>
      </w:r>
    </w:p>
    <w:p w14:paraId="117FCAF0"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O recebimento provisório ou definitivo não excluirá a responsabilidade civil pela solidez e pela segurança do serviço nem a responsabilidade ético-profissional pela perfeita execução do contrato.</w:t>
      </w:r>
    </w:p>
    <w:p w14:paraId="6E9910C8"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i/>
          <w:color w:val="000000"/>
          <w:sz w:val="20"/>
          <w:szCs w:val="20"/>
        </w:rPr>
      </w:pPr>
      <w:r>
        <w:rPr>
          <w:rFonts w:ascii="Arial" w:eastAsia="Arial" w:hAnsi="Arial" w:cs="Arial"/>
          <w:b/>
          <w:color w:val="000000"/>
          <w:sz w:val="20"/>
          <w:szCs w:val="20"/>
        </w:rPr>
        <w:lastRenderedPageBreak/>
        <w:t>Procedimentos de Teste e Inspeção</w:t>
      </w:r>
    </w:p>
    <w:p w14:paraId="0125C052"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 xml:space="preserve">Serão adotados como procedimentos de teste e inspeção, para fins de elaboração dos Termos de Recebimento Provisório e Definitivo: </w:t>
      </w:r>
    </w:p>
    <w:p w14:paraId="204FC06A"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sz w:val="20"/>
          <w:szCs w:val="20"/>
        </w:rPr>
        <w:t xml:space="preserve">acesso </w:t>
      </w:r>
      <w:proofErr w:type="spellStart"/>
      <w:r>
        <w:rPr>
          <w:rFonts w:ascii="Arial" w:eastAsia="Arial" w:hAnsi="Arial" w:cs="Arial"/>
          <w:sz w:val="20"/>
          <w:szCs w:val="20"/>
        </w:rPr>
        <w:t>a</w:t>
      </w:r>
      <w:proofErr w:type="spellEnd"/>
      <w:r>
        <w:rPr>
          <w:rFonts w:ascii="Arial" w:eastAsia="Arial" w:hAnsi="Arial" w:cs="Arial"/>
          <w:sz w:val="20"/>
          <w:szCs w:val="20"/>
        </w:rPr>
        <w:t xml:space="preserve"> sistema onde possam ser gerados relatórios contendo gráfico de consumo, qualidade </w:t>
      </w:r>
      <w:r>
        <w:rPr>
          <w:rFonts w:ascii="Arial" w:eastAsia="Arial" w:hAnsi="Arial" w:cs="Arial"/>
          <w:sz w:val="20"/>
          <w:szCs w:val="20"/>
        </w:rPr>
        <w:t>e disponibilidade do link diário, semanal, mensal e anual.</w:t>
      </w:r>
    </w:p>
    <w:p w14:paraId="2E9565F2"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i/>
          <w:color w:val="000000"/>
          <w:sz w:val="20"/>
          <w:szCs w:val="20"/>
        </w:rPr>
      </w:pPr>
      <w:r>
        <w:rPr>
          <w:rFonts w:ascii="Arial" w:eastAsia="Arial" w:hAnsi="Arial" w:cs="Arial"/>
          <w:b/>
          <w:color w:val="000000"/>
          <w:sz w:val="20"/>
          <w:szCs w:val="20"/>
        </w:rPr>
        <w:t>Sanções Administrativas e Procedimentos para retenção ou glosa no pagamento</w:t>
      </w:r>
    </w:p>
    <w:p w14:paraId="3474C62D"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Nos casos de inadimplemento na execução do objeto, as ocorrências serão registradas pela contratante</w:t>
      </w:r>
      <w:r>
        <w:rPr>
          <w:rFonts w:ascii="Arial" w:eastAsia="Arial" w:hAnsi="Arial" w:cs="Arial"/>
          <w:color w:val="000000"/>
          <w:sz w:val="20"/>
          <w:szCs w:val="20"/>
        </w:rPr>
        <w:t xml:space="preserve">, conforme </w:t>
      </w:r>
      <w:r>
        <w:rPr>
          <w:rFonts w:ascii="Arial" w:eastAsia="Arial" w:hAnsi="Arial" w:cs="Arial"/>
          <w:color w:val="000000"/>
          <w:sz w:val="20"/>
          <w:szCs w:val="20"/>
        </w:rPr>
        <w:t xml:space="preserve">o </w:t>
      </w:r>
      <w:r>
        <w:rPr>
          <w:rFonts w:ascii="Arial" w:eastAsia="Arial" w:hAnsi="Arial" w:cs="Arial"/>
          <w:sz w:val="20"/>
          <w:szCs w:val="20"/>
        </w:rPr>
        <w:t>Instrumento de Medição de Resultado (IMR), previsto no Apêndice II do Anexo I.</w:t>
      </w:r>
    </w:p>
    <w:p w14:paraId="7EE37297"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Nos termos do art. 19, inciso III da Instrução Normativa SGD/ME nº 94, de 2022, será efetuada a retenção ou glosa no pagamento, proporcional à irregularidade verificada, sem pre</w:t>
      </w:r>
      <w:r>
        <w:rPr>
          <w:rFonts w:ascii="Arial" w:eastAsia="Arial" w:hAnsi="Arial" w:cs="Arial"/>
          <w:color w:val="000000"/>
          <w:sz w:val="20"/>
          <w:szCs w:val="20"/>
        </w:rPr>
        <w:t xml:space="preserve">juízo das sanções cabíveis, nos casos em que </w:t>
      </w:r>
      <w:r>
        <w:rPr>
          <w:rFonts w:ascii="Arial" w:eastAsia="Arial" w:hAnsi="Arial" w:cs="Arial"/>
          <w:sz w:val="20"/>
          <w:szCs w:val="20"/>
        </w:rPr>
        <w:t>o</w:t>
      </w:r>
      <w:r>
        <w:rPr>
          <w:rFonts w:ascii="Arial" w:eastAsia="Arial" w:hAnsi="Arial" w:cs="Arial"/>
          <w:color w:val="000000"/>
          <w:sz w:val="20"/>
          <w:szCs w:val="20"/>
        </w:rPr>
        <w:t xml:space="preserve"> contratado:</w:t>
      </w:r>
    </w:p>
    <w:p w14:paraId="76B002ED" w14:textId="77777777" w:rsidR="00D62F37" w:rsidRDefault="00114804">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não atingir os valores mínimos aceitáveis fixados nos critérios de aceitação, não produzir os resultados ou deixar de executar as atividades contratadas; ou</w:t>
      </w:r>
    </w:p>
    <w:p w14:paraId="596D2E44" w14:textId="77777777" w:rsidR="00D62F37" w:rsidRDefault="00114804">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deixar de utilizar materiais e recursos </w:t>
      </w:r>
      <w:r>
        <w:rPr>
          <w:rFonts w:ascii="Arial" w:eastAsia="Arial" w:hAnsi="Arial" w:cs="Arial"/>
          <w:color w:val="000000"/>
          <w:sz w:val="20"/>
          <w:szCs w:val="20"/>
        </w:rPr>
        <w:t>humanos exigidos para fornecimento da solução de TIC, ou utilizá-los com qualidade ou quantidade inferior à demandada;</w:t>
      </w:r>
    </w:p>
    <w:p w14:paraId="4C94BD65"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i/>
          <w:color w:val="000000"/>
          <w:sz w:val="20"/>
          <w:szCs w:val="20"/>
        </w:rPr>
      </w:pPr>
      <w:r>
        <w:rPr>
          <w:rFonts w:ascii="Arial" w:eastAsia="Arial" w:hAnsi="Arial" w:cs="Arial"/>
          <w:b/>
          <w:color w:val="000000"/>
          <w:sz w:val="20"/>
          <w:szCs w:val="20"/>
        </w:rPr>
        <w:t>Liquidação</w:t>
      </w:r>
    </w:p>
    <w:p w14:paraId="0132AB9B"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Recebida a Nota Fiscal ou documento de cobrança equivalente, correrá o prazo de dez dias úteis para fins de liquidação, na forma desta seção, prorrogáveis por igual período, nos termos do </w:t>
      </w:r>
      <w:hyperlink r:id="rId32" w:anchor="art7%C2%A72">
        <w:r>
          <w:rPr>
            <w:rFonts w:ascii="Arial" w:eastAsia="Arial" w:hAnsi="Arial" w:cs="Arial"/>
            <w:color w:val="000080"/>
            <w:sz w:val="20"/>
            <w:szCs w:val="20"/>
            <w:u w:val="single"/>
          </w:rPr>
          <w:t>art. 7º, §2º da Instrução Normativa SEGES/ME nº 77/2022</w:t>
        </w:r>
      </w:hyperlink>
      <w:r>
        <w:rPr>
          <w:rFonts w:ascii="Arial" w:eastAsia="Arial" w:hAnsi="Arial" w:cs="Arial"/>
          <w:color w:val="000000"/>
          <w:sz w:val="20"/>
          <w:szCs w:val="20"/>
        </w:rPr>
        <w:t>.</w:t>
      </w:r>
    </w:p>
    <w:p w14:paraId="0FEDF99B"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33" w:anchor="art75">
        <w:r>
          <w:rPr>
            <w:rFonts w:ascii="Arial" w:eastAsia="Arial" w:hAnsi="Arial" w:cs="Arial"/>
            <w:color w:val="000000"/>
            <w:sz w:val="20"/>
            <w:szCs w:val="20"/>
          </w:rPr>
          <w:t>inciso II do art. 75 da Lei nº 14.133, de 2021</w:t>
        </w:r>
      </w:hyperlink>
      <w:r>
        <w:rPr>
          <w:rFonts w:ascii="Arial" w:eastAsia="Arial" w:hAnsi="Arial" w:cs="Arial"/>
          <w:color w:val="000000"/>
          <w:sz w:val="20"/>
          <w:szCs w:val="20"/>
        </w:rPr>
        <w:t>.</w:t>
      </w:r>
    </w:p>
    <w:p w14:paraId="378D6DCD"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Para fins de liquidação, o setor competente deverá verificar se a nota fiscal ou instrumento de cobrança equivalente apresentado expressa os elementos neces</w:t>
      </w:r>
      <w:r>
        <w:rPr>
          <w:rFonts w:ascii="Arial" w:eastAsia="Arial" w:hAnsi="Arial" w:cs="Arial"/>
          <w:color w:val="000000"/>
          <w:sz w:val="20"/>
          <w:szCs w:val="20"/>
        </w:rPr>
        <w:t>sários e essenciais do documento, tais como:</w:t>
      </w:r>
    </w:p>
    <w:p w14:paraId="47BA232F" w14:textId="77777777" w:rsidR="00D62F37" w:rsidRDefault="00114804">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o prazo de validade;</w:t>
      </w:r>
    </w:p>
    <w:p w14:paraId="4AE48BCE" w14:textId="77777777" w:rsidR="00D62F37" w:rsidRDefault="00114804">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a data da emissão; </w:t>
      </w:r>
    </w:p>
    <w:p w14:paraId="3CD42D7C" w14:textId="77777777" w:rsidR="00D62F37" w:rsidRDefault="00114804">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os dados do contrato e do órgão contratante; </w:t>
      </w:r>
    </w:p>
    <w:p w14:paraId="32E1CB1C" w14:textId="77777777" w:rsidR="00D62F37" w:rsidRDefault="00114804">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o período respectivo de execução do contrato; </w:t>
      </w:r>
    </w:p>
    <w:p w14:paraId="1B39BB94" w14:textId="77777777" w:rsidR="00D62F37" w:rsidRDefault="00114804">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o valor a pagar; e </w:t>
      </w:r>
    </w:p>
    <w:p w14:paraId="10DDDE68" w14:textId="77777777" w:rsidR="00D62F37" w:rsidRDefault="00114804">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eventual destaque do valor de retenções tributárias cabíveis.</w:t>
      </w:r>
    </w:p>
    <w:p w14:paraId="2AA9F3C1"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Havendo erro na apresentação da nota fiscal ou instrumento de cobrança equivalente, ou circunstância que impeça a liquidação da despesa, esta ficará sobrestada até que o contratado providencie a</w:t>
      </w:r>
      <w:r>
        <w:rPr>
          <w:rFonts w:ascii="Arial" w:eastAsia="Arial" w:hAnsi="Arial" w:cs="Arial"/>
          <w:color w:val="000000"/>
          <w:sz w:val="20"/>
          <w:szCs w:val="20"/>
        </w:rPr>
        <w:t>s medidas saneadoras, reiniciando-se o prazo após a comprovação da regularização da situação, sem ônus ao contratante;</w:t>
      </w:r>
    </w:p>
    <w:p w14:paraId="54F900E3"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 A nota fiscal ou instrumento de cobrança equivalente deverá ser obrigatoriamente acompanhado da comprovação da regularidade fiscal, cons</w:t>
      </w:r>
      <w:r>
        <w:rPr>
          <w:rFonts w:ascii="Arial" w:eastAsia="Arial" w:hAnsi="Arial" w:cs="Arial"/>
          <w:color w:val="000000"/>
          <w:sz w:val="20"/>
          <w:szCs w:val="20"/>
        </w:rPr>
        <w:t xml:space="preserve">tatada por meio de consulta on-line ao SICAF ou, na </w:t>
      </w:r>
      <w:r>
        <w:rPr>
          <w:rFonts w:ascii="Arial" w:eastAsia="Arial" w:hAnsi="Arial" w:cs="Arial"/>
          <w:color w:val="000000"/>
          <w:sz w:val="20"/>
          <w:szCs w:val="20"/>
        </w:rPr>
        <w:lastRenderedPageBreak/>
        <w:t xml:space="preserve">impossibilidade de acesso ao referido Sistema, mediante consulta aos sítios eletrônicos oficiais ou à documentação mencionada no </w:t>
      </w:r>
      <w:hyperlink r:id="rId34" w:anchor="art68">
        <w:r>
          <w:rPr>
            <w:rFonts w:ascii="Arial" w:eastAsia="Arial" w:hAnsi="Arial" w:cs="Arial"/>
            <w:color w:val="000000"/>
            <w:sz w:val="20"/>
            <w:szCs w:val="20"/>
          </w:rPr>
          <w:t xml:space="preserve">art. 68 da Lei nº 14.133, de 2021.  </w:t>
        </w:r>
      </w:hyperlink>
      <w:r>
        <w:rPr>
          <w:rFonts w:ascii="Arial" w:eastAsia="Arial" w:hAnsi="Arial" w:cs="Arial"/>
          <w:color w:val="000000"/>
          <w:sz w:val="20"/>
          <w:szCs w:val="20"/>
        </w:rPr>
        <w:t xml:space="preserve"> </w:t>
      </w:r>
    </w:p>
    <w:p w14:paraId="6FA3F322"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Administração deverá realizar consulta ao SICAF para: a) verificar a manutenção das condições de habilitação exigidas no edital; b) identificar possível razão que impeça a participação em li</w:t>
      </w:r>
      <w:r>
        <w:rPr>
          <w:rFonts w:ascii="Arial" w:eastAsia="Arial" w:hAnsi="Arial" w:cs="Arial"/>
          <w:color w:val="000000"/>
          <w:sz w:val="20"/>
          <w:szCs w:val="20"/>
        </w:rPr>
        <w:t>citação, no âmbito do órgão ou entidade, que implique proibição de contratar com o Poder Público, bem como ocorrências impeditivas indiretas. (INSTRUÇÃO NORMATIVA Nº 3, DE 26 DE ABRIL DE 2018)</w:t>
      </w:r>
    </w:p>
    <w:p w14:paraId="7FB3440D"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Constatando-se, junto ao SICAF, a situação de irregularidade do</w:t>
      </w:r>
      <w:r>
        <w:rPr>
          <w:rFonts w:ascii="Arial" w:eastAsia="Arial" w:hAnsi="Arial" w:cs="Arial"/>
          <w:color w:val="000000"/>
          <w:sz w:val="20"/>
          <w:szCs w:val="20"/>
        </w:rPr>
        <w:t xml:space="preserve"> contratado, será providenciada sua notificação, por escrito, para que, no prazo de 5 (cinco) dias úteis, regularize sua situação ou, no mesmo prazo, apresente sua defesa. O prazo poderá ser prorrogado uma vez, por igual período, a critério do contratante.</w:t>
      </w:r>
    </w:p>
    <w:p w14:paraId="1B46ABB9"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w:t>
      </w:r>
      <w:r>
        <w:rPr>
          <w:rFonts w:ascii="Arial" w:eastAsia="Arial" w:hAnsi="Arial" w:cs="Arial"/>
          <w:color w:val="000000"/>
          <w:sz w:val="20"/>
          <w:szCs w:val="20"/>
        </w:rPr>
        <w:t xml:space="preserve">tuado, para que sejam acionados os meios pertinentes e necessários para garantir o recebimento de seus créditos.  </w:t>
      </w:r>
    </w:p>
    <w:p w14:paraId="01369B92"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Persistindo a irregularidade, o contratante deverá adotar as medidas necessárias à rescisão contratual nos autos do processo administrativo c</w:t>
      </w:r>
      <w:r>
        <w:rPr>
          <w:rFonts w:ascii="Arial" w:eastAsia="Arial" w:hAnsi="Arial" w:cs="Arial"/>
          <w:color w:val="000000"/>
          <w:sz w:val="20"/>
          <w:szCs w:val="20"/>
        </w:rPr>
        <w:t xml:space="preserve">orrespondente, assegurada ao contratado a ampla defesa. </w:t>
      </w:r>
    </w:p>
    <w:p w14:paraId="26FAEED5"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 xml:space="preserve">Havendo a efetiva execução do objeto, os pagamentos serão realizados normalmente, até que se decida pela rescisão do contrato, caso o contratado não regularize sua situação junto ao SICAF.  </w:t>
      </w:r>
    </w:p>
    <w:p w14:paraId="03A91D1A"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color w:val="000000"/>
          <w:sz w:val="20"/>
          <w:szCs w:val="20"/>
        </w:rPr>
      </w:pPr>
      <w:r>
        <w:rPr>
          <w:rFonts w:ascii="Arial" w:eastAsia="Arial" w:hAnsi="Arial" w:cs="Arial"/>
          <w:b/>
          <w:color w:val="000000"/>
          <w:sz w:val="20"/>
          <w:szCs w:val="20"/>
        </w:rPr>
        <w:t>Prazo de pagamento</w:t>
      </w:r>
    </w:p>
    <w:p w14:paraId="09CE2482"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 xml:space="preserve">O pagamento será efetuado no prazo de até 10 (dez) dias úteis contados da finalização da liquidação da despesa, conforme seção anterior, nos termos da </w:t>
      </w:r>
      <w:hyperlink r:id="rId35">
        <w:r>
          <w:rPr>
            <w:rFonts w:ascii="Arial" w:eastAsia="Arial" w:hAnsi="Arial" w:cs="Arial"/>
            <w:color w:val="000000"/>
            <w:sz w:val="20"/>
            <w:szCs w:val="20"/>
          </w:rPr>
          <w:t>Instrução Normativa SEGES/ME nº 77, de 2022</w:t>
        </w:r>
      </w:hyperlink>
      <w:r>
        <w:rPr>
          <w:rFonts w:ascii="Arial" w:eastAsia="Arial" w:hAnsi="Arial" w:cs="Arial"/>
          <w:color w:val="000000"/>
          <w:sz w:val="20"/>
          <w:szCs w:val="20"/>
        </w:rPr>
        <w:t>.</w:t>
      </w:r>
    </w:p>
    <w:p w14:paraId="445B57F2"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No caso de atraso pelo Contratante, os valores devidos ao contratado serão atualizados monetariamente entre o termo final do prazo de pagamento até a data de sua efetiva realização, mediante aplica</w:t>
      </w:r>
      <w:r>
        <w:rPr>
          <w:rFonts w:ascii="Arial" w:eastAsia="Arial" w:hAnsi="Arial" w:cs="Arial"/>
          <w:color w:val="000000"/>
          <w:sz w:val="20"/>
          <w:szCs w:val="20"/>
        </w:rPr>
        <w:t xml:space="preserve">ção do </w:t>
      </w:r>
      <w:r>
        <w:rPr>
          <w:rFonts w:ascii="Arial" w:eastAsia="Arial" w:hAnsi="Arial" w:cs="Arial"/>
          <w:i/>
          <w:sz w:val="20"/>
          <w:szCs w:val="20"/>
        </w:rPr>
        <w:t>Índice de Custos de Tecnologia da Informação (ICTI)</w:t>
      </w:r>
      <w:r>
        <w:rPr>
          <w:rFonts w:ascii="Arial" w:eastAsia="Arial" w:hAnsi="Arial" w:cs="Arial"/>
          <w:color w:val="000000"/>
          <w:sz w:val="20"/>
          <w:szCs w:val="20"/>
        </w:rPr>
        <w:t xml:space="preserve"> de correção monetária.</w:t>
      </w:r>
    </w:p>
    <w:p w14:paraId="7F49B065"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color w:val="000000"/>
          <w:sz w:val="20"/>
          <w:szCs w:val="20"/>
        </w:rPr>
      </w:pPr>
      <w:r>
        <w:rPr>
          <w:rFonts w:ascii="Arial" w:eastAsia="Arial" w:hAnsi="Arial" w:cs="Arial"/>
          <w:b/>
          <w:color w:val="000000"/>
          <w:sz w:val="20"/>
          <w:szCs w:val="20"/>
        </w:rPr>
        <w:t>Forma de pagamento</w:t>
      </w:r>
    </w:p>
    <w:p w14:paraId="4901142B"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pagamento será realizado por meio de ordem bancária, para crédito em banco, agência e conta corrente indicados pelo contratado.</w:t>
      </w:r>
    </w:p>
    <w:p w14:paraId="496F8AAA"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Será considerada data do </w:t>
      </w:r>
      <w:r>
        <w:rPr>
          <w:rFonts w:ascii="Arial" w:eastAsia="Arial" w:hAnsi="Arial" w:cs="Arial"/>
          <w:color w:val="000000"/>
          <w:sz w:val="20"/>
          <w:szCs w:val="20"/>
        </w:rPr>
        <w:t>pagamento o dia em que constar como emitida a ordem bancária para pagamento.</w:t>
      </w:r>
    </w:p>
    <w:p w14:paraId="57277BD1"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Quando do pagamento, será efetuada a retenção tributária prevista na legislação aplicável.</w:t>
      </w:r>
    </w:p>
    <w:p w14:paraId="20C5D586"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Independentemente do percentual de tributo inserido na planilha, quando houver, serão re</w:t>
      </w:r>
      <w:r>
        <w:rPr>
          <w:rFonts w:ascii="Arial" w:eastAsia="Arial" w:hAnsi="Arial" w:cs="Arial"/>
          <w:color w:val="000000"/>
          <w:sz w:val="20"/>
          <w:szCs w:val="20"/>
        </w:rPr>
        <w:t>tidos na fonte, quando da realização do pagamento, os percentuais estabelecidos na legislação vigente.</w:t>
      </w:r>
    </w:p>
    <w:p w14:paraId="609D2BED"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contratado regularmente optante pelo Simples Nacional, nos termos da Lei Complementar nº 123, de 2006, não sofrerá a retenção tributária quanto aos imp</w:t>
      </w:r>
      <w:r>
        <w:rPr>
          <w:rFonts w:ascii="Arial" w:eastAsia="Arial" w:hAnsi="Arial" w:cs="Arial"/>
          <w:color w:val="000000"/>
          <w:sz w:val="20"/>
          <w:szCs w:val="20"/>
        </w:rPr>
        <w:t xml:space="preserve">ostos e contribuições abrangidos por aquele regime. No entanto, o pagamento ficará condicionado à apresentação de comprovação, </w:t>
      </w:r>
      <w:r>
        <w:rPr>
          <w:rFonts w:ascii="Arial" w:eastAsia="Arial" w:hAnsi="Arial" w:cs="Arial"/>
          <w:color w:val="000000"/>
          <w:sz w:val="20"/>
          <w:szCs w:val="20"/>
        </w:rPr>
        <w:lastRenderedPageBreak/>
        <w:t>por meio de documento oficial, de que faz jus ao tratamento tributário favorecido previsto na referida Lei Complementar.</w:t>
      </w:r>
    </w:p>
    <w:p w14:paraId="08AB106C"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color w:val="000000"/>
          <w:sz w:val="20"/>
          <w:szCs w:val="20"/>
        </w:rPr>
      </w:pPr>
      <w:r>
        <w:rPr>
          <w:rFonts w:ascii="Arial" w:eastAsia="Arial" w:hAnsi="Arial" w:cs="Arial"/>
          <w:b/>
          <w:color w:val="000000"/>
          <w:sz w:val="20"/>
          <w:szCs w:val="20"/>
        </w:rPr>
        <w:t>Cessão d</w:t>
      </w:r>
      <w:r>
        <w:rPr>
          <w:rFonts w:ascii="Arial" w:eastAsia="Arial" w:hAnsi="Arial" w:cs="Arial"/>
          <w:b/>
          <w:color w:val="000000"/>
          <w:sz w:val="20"/>
          <w:szCs w:val="20"/>
        </w:rPr>
        <w:t>e crédito</w:t>
      </w:r>
    </w:p>
    <w:p w14:paraId="25A1B33D"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 xml:space="preserve">É admitida a cessão fiduciária de direitos creditícios com instituição financeira, nos termos e de acordo com os procedimentos previstos na </w:t>
      </w:r>
      <w:hyperlink r:id="rId36">
        <w:r>
          <w:rPr>
            <w:rFonts w:ascii="Arial" w:eastAsia="Arial" w:hAnsi="Arial" w:cs="Arial"/>
            <w:color w:val="000000"/>
            <w:sz w:val="20"/>
            <w:szCs w:val="20"/>
          </w:rPr>
          <w:t>Instrução Normativa SEGES/ME nº 53, de 8 de Julho de 2020</w:t>
        </w:r>
      </w:hyperlink>
      <w:r>
        <w:rPr>
          <w:rFonts w:ascii="Arial" w:eastAsia="Arial" w:hAnsi="Arial" w:cs="Arial"/>
          <w:color w:val="000000"/>
          <w:sz w:val="20"/>
          <w:szCs w:val="20"/>
        </w:rPr>
        <w:t>, conforme as regras deste presente tópico.</w:t>
      </w:r>
    </w:p>
    <w:p w14:paraId="4765E0E2" w14:textId="77777777" w:rsidR="00D62F37" w:rsidRDefault="00114804">
      <w:pPr>
        <w:numPr>
          <w:ilvl w:val="2"/>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bookmarkStart w:id="2" w:name="_heading=h.2et92p0" w:colFirst="0" w:colLast="0"/>
      <w:bookmarkEnd w:id="2"/>
      <w:r>
        <w:rPr>
          <w:rFonts w:ascii="Arial" w:eastAsia="Arial" w:hAnsi="Arial" w:cs="Arial"/>
          <w:color w:val="000000"/>
          <w:sz w:val="20"/>
          <w:szCs w:val="20"/>
        </w:rPr>
        <w:t>As cessões de crédito não fiduciárias dependerão de prévia aprovação do contratante.</w:t>
      </w:r>
    </w:p>
    <w:p w14:paraId="2A712102"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A eficácia da cessão de crédito, de qualquer natureza, em relação à Administração, está condicionada à celebração de termo aditivo ao contrato administrativo.</w:t>
      </w:r>
    </w:p>
    <w:p w14:paraId="510C1A93"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Sem prejuízo</w:t>
      </w:r>
      <w:r>
        <w:rPr>
          <w:rFonts w:ascii="Arial" w:eastAsia="Arial" w:hAnsi="Arial" w:cs="Arial"/>
          <w:color w:val="000000"/>
          <w:sz w:val="20"/>
          <w:szCs w:val="20"/>
        </w:rPr>
        <w:t xml:space="preserve"> do regular atendimento da obrigação contratual de cumprimento de todas as condições de habilitação por parte do contratado (cedente), a celebração do aditamento de cessão de crédito e a realização dos pagamentos respectivos também se condicionam à regular</w:t>
      </w:r>
      <w:r>
        <w:rPr>
          <w:rFonts w:ascii="Arial" w:eastAsia="Arial" w:hAnsi="Arial" w:cs="Arial"/>
          <w:color w:val="000000"/>
          <w:sz w:val="20"/>
          <w:szCs w:val="20"/>
        </w:rPr>
        <w:t>idade fiscal e trabalhista do cessionário, bem como à certificação de que o cessionário não se encontra impedido de licitar e contratar com o Poder Público, conforme a legislação em vigor, ou de receber benefícios ou incentivos fiscais ou creditícios, dire</w:t>
      </w:r>
      <w:r>
        <w:rPr>
          <w:rFonts w:ascii="Arial" w:eastAsia="Arial" w:hAnsi="Arial" w:cs="Arial"/>
          <w:color w:val="000000"/>
          <w:sz w:val="20"/>
          <w:szCs w:val="20"/>
        </w:rPr>
        <w:t xml:space="preserve">ta ou indiretamente, conforme </w:t>
      </w:r>
      <w:hyperlink r:id="rId37">
        <w:r>
          <w:rPr>
            <w:rFonts w:ascii="Arial" w:eastAsia="Arial" w:hAnsi="Arial" w:cs="Arial"/>
            <w:color w:val="000000"/>
            <w:sz w:val="20"/>
            <w:szCs w:val="20"/>
          </w:rPr>
          <w:t>o art. 12 da Lei nº 8.429, de 1992</w:t>
        </w:r>
      </w:hyperlink>
      <w:r>
        <w:rPr>
          <w:rFonts w:ascii="Arial" w:eastAsia="Arial" w:hAnsi="Arial" w:cs="Arial"/>
          <w:color w:val="000000"/>
          <w:sz w:val="20"/>
          <w:szCs w:val="20"/>
        </w:rPr>
        <w:t xml:space="preserve">, </w:t>
      </w:r>
      <w:r>
        <w:rPr>
          <w:rFonts w:ascii="Arial" w:eastAsia="Arial" w:hAnsi="Arial" w:cs="Arial"/>
          <w:color w:val="000000"/>
          <w:sz w:val="20"/>
          <w:szCs w:val="20"/>
        </w:rPr>
        <w:t xml:space="preserve">nos termos do </w:t>
      </w:r>
      <w:hyperlink r:id="rId38">
        <w:r>
          <w:rPr>
            <w:rFonts w:ascii="Arial" w:eastAsia="Arial" w:hAnsi="Arial" w:cs="Arial"/>
            <w:color w:val="000000"/>
            <w:sz w:val="20"/>
            <w:szCs w:val="20"/>
          </w:rPr>
          <w:t>Parecer JL-01, de 18 de maio de 2020.</w:t>
        </w:r>
      </w:hyperlink>
    </w:p>
    <w:p w14:paraId="586452DE"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bookmarkStart w:id="3" w:name="_heading=h.tyjcwt" w:colFirst="0" w:colLast="0"/>
      <w:bookmarkEnd w:id="3"/>
      <w:r>
        <w:rPr>
          <w:rFonts w:ascii="Arial" w:eastAsia="Arial" w:hAnsi="Arial" w:cs="Arial"/>
          <w:color w:val="000000"/>
          <w:sz w:val="20"/>
          <w:szCs w:val="20"/>
        </w:rPr>
        <w:t>O crédito a ser pago à cessionária é exatamente aquele que seria destinado à cedente (contratado) pela execução do objeto contratual, restando absolutamente incólumes todas as defesas e exceções ao pagamento e todas as demais cláusulas exorbitantes ao dire</w:t>
      </w:r>
      <w:r>
        <w:rPr>
          <w:rFonts w:ascii="Arial" w:eastAsia="Arial" w:hAnsi="Arial" w:cs="Arial"/>
          <w:color w:val="000000"/>
          <w:sz w:val="20"/>
          <w:szCs w:val="20"/>
        </w:rPr>
        <w:t xml:space="preserve">ito comum aplicáveis no regime jurídico de direito público incidente sobre os contratos administrativos, incluindo a possibilidade de pagamento em conta vinculada ou de pagamento pela efetiva comprovação do fato gerador, quando for o caso, e o desconto de </w:t>
      </w:r>
      <w:r>
        <w:rPr>
          <w:rFonts w:ascii="Arial" w:eastAsia="Arial" w:hAnsi="Arial" w:cs="Arial"/>
          <w:color w:val="000000"/>
          <w:sz w:val="20"/>
          <w:szCs w:val="20"/>
        </w:rPr>
        <w:t>multas, glosas e prejuízos causados à Administração (INSTRUÇÃO NORMATIVA Nº 53, DE 8 DE JULHO DE 2020).</w:t>
      </w:r>
    </w:p>
    <w:p w14:paraId="1BCBE3D8"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A cessão de crédito não afetará a execução do objeto contratado, que continuará sob a integral responsabilidade do contratado.</w:t>
      </w:r>
    </w:p>
    <w:p w14:paraId="77F09D19" w14:textId="77777777" w:rsidR="00D62F37" w:rsidRDefault="00114804">
      <w:pPr>
        <w:keepNext/>
        <w:keepLines/>
        <w:numPr>
          <w:ilvl w:val="0"/>
          <w:numId w:val="1"/>
        </w:numPr>
        <w:pBdr>
          <w:top w:val="nil"/>
          <w:left w:val="nil"/>
          <w:bottom w:val="nil"/>
          <w:right w:val="nil"/>
          <w:between w:val="nil"/>
        </w:pBdr>
        <w:tabs>
          <w:tab w:val="left" w:pos="-709"/>
        </w:tabs>
        <w:spacing w:before="240" w:after="120" w:line="276" w:lineRule="auto"/>
        <w:jc w:val="both"/>
      </w:pPr>
      <w:r>
        <w:rPr>
          <w:rFonts w:ascii="Arial" w:eastAsia="Arial" w:hAnsi="Arial" w:cs="Arial"/>
          <w:b/>
          <w:color w:val="000000"/>
          <w:sz w:val="20"/>
          <w:szCs w:val="20"/>
        </w:rPr>
        <w:t>FORMA E CRITÉRIOS DE SELE</w:t>
      </w:r>
      <w:r>
        <w:rPr>
          <w:rFonts w:ascii="Arial" w:eastAsia="Arial" w:hAnsi="Arial" w:cs="Arial"/>
          <w:b/>
          <w:color w:val="000000"/>
          <w:sz w:val="20"/>
          <w:szCs w:val="20"/>
        </w:rPr>
        <w:t>ÇÃO DO FORNECEDOR E REGIME DE EXECUÇÃO</w:t>
      </w:r>
    </w:p>
    <w:p w14:paraId="64C7BACC"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color w:val="000000"/>
          <w:sz w:val="20"/>
          <w:szCs w:val="20"/>
        </w:rPr>
      </w:pPr>
      <w:r>
        <w:rPr>
          <w:rFonts w:ascii="Arial" w:eastAsia="Arial" w:hAnsi="Arial" w:cs="Arial"/>
          <w:b/>
          <w:color w:val="000000"/>
          <w:sz w:val="20"/>
          <w:szCs w:val="20"/>
        </w:rPr>
        <w:t>Forma de seleção e critério de julgamento da proposta</w:t>
      </w:r>
    </w:p>
    <w:p w14:paraId="5D56018B"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 fornecedor será selecionado por meio da realização de procedimento de LICITAÇÃO, na modalidade PREGÃO, sob a forma ELETRÔNICA, com adoção do critério de julgamento pelo </w:t>
      </w:r>
      <w:r>
        <w:rPr>
          <w:rFonts w:ascii="Arial" w:eastAsia="Arial" w:hAnsi="Arial" w:cs="Arial"/>
          <w:sz w:val="20"/>
          <w:szCs w:val="20"/>
        </w:rPr>
        <w:t>menor preço.</w:t>
      </w:r>
    </w:p>
    <w:p w14:paraId="47861EBE"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color w:val="000000"/>
          <w:sz w:val="20"/>
          <w:szCs w:val="20"/>
        </w:rPr>
      </w:pPr>
      <w:r>
        <w:rPr>
          <w:rFonts w:ascii="Arial" w:eastAsia="Arial" w:hAnsi="Arial" w:cs="Arial"/>
          <w:b/>
          <w:color w:val="000000"/>
          <w:sz w:val="20"/>
          <w:szCs w:val="20"/>
        </w:rPr>
        <w:t>Regime de execução</w:t>
      </w:r>
    </w:p>
    <w:p w14:paraId="7F56326A" w14:textId="77777777" w:rsidR="00D62F37" w:rsidRDefault="00114804">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O regime de execução do cont</w:t>
      </w:r>
      <w:r>
        <w:rPr>
          <w:rFonts w:ascii="Arial" w:eastAsia="Arial" w:hAnsi="Arial" w:cs="Arial"/>
          <w:sz w:val="20"/>
          <w:szCs w:val="20"/>
        </w:rPr>
        <w:t xml:space="preserve">rato será por empreitada </w:t>
      </w:r>
      <w:r>
        <w:rPr>
          <w:rFonts w:ascii="Arial" w:eastAsia="Arial" w:hAnsi="Arial" w:cs="Arial"/>
          <w:sz w:val="20"/>
          <w:szCs w:val="20"/>
        </w:rPr>
        <w:t>por preço global.</w:t>
      </w:r>
    </w:p>
    <w:p w14:paraId="28D91315"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i/>
          <w:color w:val="000000"/>
          <w:sz w:val="20"/>
          <w:szCs w:val="20"/>
        </w:rPr>
      </w:pPr>
      <w:r>
        <w:rPr>
          <w:rFonts w:ascii="Arial" w:eastAsia="Arial" w:hAnsi="Arial" w:cs="Arial"/>
          <w:b/>
          <w:color w:val="000000"/>
          <w:sz w:val="20"/>
          <w:szCs w:val="20"/>
        </w:rPr>
        <w:t>Da Aplicação da Margem de Preferência</w:t>
      </w:r>
    </w:p>
    <w:p w14:paraId="2ABDC8CC"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Aplica-se a margem de preferência conforme </w:t>
      </w:r>
      <w:r>
        <w:rPr>
          <w:rFonts w:ascii="Arial" w:eastAsia="Arial" w:hAnsi="Arial" w:cs="Arial"/>
          <w:color w:val="000000"/>
          <w:sz w:val="20"/>
          <w:szCs w:val="20"/>
        </w:rPr>
        <w:t>estab</w:t>
      </w:r>
      <w:r>
        <w:rPr>
          <w:rFonts w:ascii="Arial" w:eastAsia="Arial" w:hAnsi="Arial" w:cs="Arial"/>
          <w:sz w:val="20"/>
          <w:szCs w:val="20"/>
        </w:rPr>
        <w:t>elecido no Decreto nº 11.890, de 22 de janeiro de 2024.</w:t>
      </w:r>
    </w:p>
    <w:p w14:paraId="4DCD0E7A"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color w:val="000000"/>
          <w:sz w:val="20"/>
          <w:szCs w:val="20"/>
        </w:rPr>
      </w:pPr>
      <w:r>
        <w:rPr>
          <w:rFonts w:ascii="Arial" w:eastAsia="Arial" w:hAnsi="Arial" w:cs="Arial"/>
          <w:b/>
          <w:color w:val="000000"/>
          <w:sz w:val="20"/>
          <w:szCs w:val="20"/>
        </w:rPr>
        <w:t>Exigências de habilitação</w:t>
      </w:r>
    </w:p>
    <w:p w14:paraId="4EB14C64"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Para fins de habilitação, deverá o licitante comprovar os seguintes requisitos:</w:t>
      </w:r>
    </w:p>
    <w:p w14:paraId="02CC6BA7"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color w:val="000000"/>
          <w:sz w:val="20"/>
          <w:szCs w:val="20"/>
        </w:rPr>
      </w:pPr>
      <w:r>
        <w:rPr>
          <w:rFonts w:ascii="Arial" w:eastAsia="Arial" w:hAnsi="Arial" w:cs="Arial"/>
          <w:b/>
          <w:color w:val="000000"/>
          <w:sz w:val="20"/>
          <w:szCs w:val="20"/>
        </w:rPr>
        <w:lastRenderedPageBreak/>
        <w:t>Habilitação jurídica</w:t>
      </w:r>
    </w:p>
    <w:p w14:paraId="774A988B" w14:textId="77777777" w:rsidR="00D62F37" w:rsidRDefault="00114804">
      <w:pPr>
        <w:numPr>
          <w:ilvl w:val="1"/>
          <w:numId w:val="1"/>
        </w:numPr>
        <w:pBdr>
          <w:top w:val="nil"/>
          <w:left w:val="nil"/>
          <w:bottom w:val="nil"/>
          <w:right w:val="nil"/>
          <w:between w:val="nil"/>
        </w:pBdr>
        <w:spacing w:before="120" w:after="120" w:line="276" w:lineRule="auto"/>
        <w:jc w:val="both"/>
      </w:pPr>
      <w:bookmarkStart w:id="4" w:name="_heading=h.3dy6vkm" w:colFirst="0" w:colLast="0"/>
      <w:bookmarkEnd w:id="4"/>
      <w:r>
        <w:rPr>
          <w:rFonts w:ascii="Arial" w:eastAsia="Arial" w:hAnsi="Arial" w:cs="Arial"/>
          <w:b/>
          <w:color w:val="000000"/>
          <w:sz w:val="20"/>
          <w:szCs w:val="20"/>
        </w:rPr>
        <w:t>Pessoa física:</w:t>
      </w:r>
      <w:r>
        <w:rPr>
          <w:rFonts w:ascii="Arial" w:eastAsia="Arial" w:hAnsi="Arial" w:cs="Arial"/>
          <w:color w:val="000000"/>
          <w:sz w:val="20"/>
          <w:szCs w:val="20"/>
        </w:rPr>
        <w:t xml:space="preserve"> cédula de identidade (RG) ou documento equivalente que, por força de lei, tenha validade para fins de identificação em todo o território nac</w:t>
      </w:r>
      <w:r>
        <w:rPr>
          <w:rFonts w:ascii="Arial" w:eastAsia="Arial" w:hAnsi="Arial" w:cs="Arial"/>
          <w:color w:val="000000"/>
          <w:sz w:val="20"/>
          <w:szCs w:val="20"/>
        </w:rPr>
        <w:t>ional;</w:t>
      </w:r>
    </w:p>
    <w:p w14:paraId="03CAF327"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b/>
          <w:color w:val="000000"/>
          <w:sz w:val="20"/>
          <w:szCs w:val="20"/>
        </w:rPr>
        <w:t>Empresário individual:</w:t>
      </w:r>
      <w:r>
        <w:rPr>
          <w:rFonts w:ascii="Arial" w:eastAsia="Arial" w:hAnsi="Arial" w:cs="Arial"/>
          <w:color w:val="000000"/>
          <w:sz w:val="20"/>
          <w:szCs w:val="20"/>
        </w:rPr>
        <w:t xml:space="preserve"> inscrição no Registro Público de Empresas Mercantis, a cargo da Junta Comercial da respectiva sede;</w:t>
      </w:r>
    </w:p>
    <w:p w14:paraId="1BDEE3E1"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b/>
          <w:color w:val="000000"/>
          <w:sz w:val="20"/>
          <w:szCs w:val="20"/>
        </w:rPr>
        <w:t>Microempreendedor Individual - MEI:</w:t>
      </w:r>
      <w:r>
        <w:rPr>
          <w:rFonts w:ascii="Arial" w:eastAsia="Arial" w:hAnsi="Arial" w:cs="Arial"/>
          <w:color w:val="000000"/>
          <w:sz w:val="20"/>
          <w:szCs w:val="20"/>
        </w:rPr>
        <w:t xml:space="preserve"> Certificado da Condição de Microempreendedor Individual - CCMEI, cuja aceitação ficará con</w:t>
      </w:r>
      <w:r>
        <w:rPr>
          <w:rFonts w:ascii="Arial" w:eastAsia="Arial" w:hAnsi="Arial" w:cs="Arial"/>
          <w:color w:val="000000"/>
          <w:sz w:val="20"/>
          <w:szCs w:val="20"/>
        </w:rPr>
        <w:t xml:space="preserve">dicionada à verificação da autenticidade no sítio </w:t>
      </w:r>
      <w:hyperlink r:id="rId39">
        <w:r>
          <w:rPr>
            <w:rFonts w:ascii="Arial" w:eastAsia="Arial" w:hAnsi="Arial" w:cs="Arial"/>
            <w:color w:val="000080"/>
            <w:sz w:val="20"/>
            <w:szCs w:val="20"/>
            <w:u w:val="single"/>
          </w:rPr>
          <w:t>https://www.gov.br/empresas-e-negocios/pt-br/empreendedor</w:t>
        </w:r>
      </w:hyperlink>
      <w:r>
        <w:rPr>
          <w:rFonts w:ascii="Arial" w:eastAsia="Arial" w:hAnsi="Arial" w:cs="Arial"/>
          <w:color w:val="000000"/>
          <w:sz w:val="20"/>
          <w:szCs w:val="20"/>
        </w:rPr>
        <w:t xml:space="preserve">; </w:t>
      </w:r>
    </w:p>
    <w:p w14:paraId="50D8F7DE"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w:t>
      </w:r>
      <w:r>
        <w:rPr>
          <w:rFonts w:ascii="Arial" w:eastAsia="Arial" w:hAnsi="Arial" w:cs="Arial"/>
          <w:color w:val="000000"/>
          <w:sz w:val="20"/>
          <w:szCs w:val="20"/>
        </w:rPr>
        <w:t xml:space="preserve"> da Junta Comercial da respectiva sede, acompanhada de documento comprobatório de seus administradores;</w:t>
      </w:r>
    </w:p>
    <w:p w14:paraId="2EA9E447"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b/>
          <w:color w:val="000000"/>
          <w:sz w:val="20"/>
          <w:szCs w:val="20"/>
        </w:rPr>
        <w:t>Sociedade empresária estrangeira:</w:t>
      </w:r>
      <w:r>
        <w:rPr>
          <w:rFonts w:ascii="Arial" w:eastAsia="Arial" w:hAnsi="Arial" w:cs="Arial"/>
          <w:color w:val="000000"/>
          <w:sz w:val="20"/>
          <w:szCs w:val="20"/>
        </w:rPr>
        <w:t xml:space="preserve"> portaria de autorização de funcionamento no Brasil, publicada no Diário Oficial da União e arquivada na Junta Comercia</w:t>
      </w:r>
      <w:r>
        <w:rPr>
          <w:rFonts w:ascii="Arial" w:eastAsia="Arial" w:hAnsi="Arial" w:cs="Arial"/>
          <w:color w:val="000000"/>
          <w:sz w:val="20"/>
          <w:szCs w:val="20"/>
        </w:rPr>
        <w:t xml:space="preserve">l da unidade federativa onde se localizar a filial, agência, sucursal ou estabelecimento, a qual será considerada como sua sede, conforme Instrução </w:t>
      </w:r>
      <w:hyperlink r:id="rId40">
        <w:r>
          <w:rPr>
            <w:rFonts w:ascii="Arial" w:eastAsia="Arial" w:hAnsi="Arial" w:cs="Arial"/>
            <w:color w:val="000080"/>
            <w:sz w:val="20"/>
            <w:szCs w:val="20"/>
            <w:u w:val="single"/>
          </w:rPr>
          <w:t>Normativa DREI/ME n.º 77, de 18 de março de 2020</w:t>
        </w:r>
      </w:hyperlink>
      <w:r>
        <w:rPr>
          <w:rFonts w:ascii="Arial" w:eastAsia="Arial" w:hAnsi="Arial" w:cs="Arial"/>
          <w:color w:val="000000"/>
          <w:sz w:val="20"/>
          <w:szCs w:val="20"/>
        </w:rPr>
        <w:t>.</w:t>
      </w:r>
    </w:p>
    <w:p w14:paraId="46A74F76"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b/>
          <w:color w:val="000000"/>
          <w:sz w:val="20"/>
          <w:szCs w:val="20"/>
        </w:rPr>
        <w:t xml:space="preserve">Sociedade simples: </w:t>
      </w:r>
      <w:r>
        <w:rPr>
          <w:rFonts w:ascii="Arial" w:eastAsia="Arial" w:hAnsi="Arial" w:cs="Arial"/>
          <w:color w:val="000000"/>
          <w:sz w:val="20"/>
          <w:szCs w:val="20"/>
        </w:rPr>
        <w:t>inscrição do ato constitutivo no Registro Civil de Pessoas Jurídicas do local de sua sede, acompanhada de documento comprobatório de seus administradores;</w:t>
      </w:r>
    </w:p>
    <w:p w14:paraId="1BA02947" w14:textId="77777777" w:rsidR="00D62F37" w:rsidRDefault="00114804">
      <w:pPr>
        <w:numPr>
          <w:ilvl w:val="1"/>
          <w:numId w:val="1"/>
        </w:numPr>
        <w:pBdr>
          <w:top w:val="nil"/>
          <w:left w:val="nil"/>
          <w:bottom w:val="nil"/>
          <w:right w:val="nil"/>
          <w:between w:val="nil"/>
        </w:pBdr>
        <w:spacing w:before="120" w:after="120" w:line="276" w:lineRule="auto"/>
        <w:jc w:val="both"/>
      </w:pPr>
      <w:bookmarkStart w:id="5" w:name="_heading=h.1t3h5sf" w:colFirst="0" w:colLast="0"/>
      <w:bookmarkEnd w:id="5"/>
      <w:r>
        <w:rPr>
          <w:rFonts w:ascii="Arial" w:eastAsia="Arial" w:hAnsi="Arial" w:cs="Arial"/>
          <w:b/>
          <w:color w:val="000000"/>
          <w:sz w:val="20"/>
          <w:szCs w:val="20"/>
        </w:rPr>
        <w:t>Filial, sucursal ou agência de sociedade simples ou empresária:</w:t>
      </w:r>
      <w:r>
        <w:rPr>
          <w:rFonts w:ascii="Arial" w:eastAsia="Arial" w:hAnsi="Arial" w:cs="Arial"/>
          <w:color w:val="000000"/>
          <w:sz w:val="20"/>
          <w:szCs w:val="20"/>
        </w:rPr>
        <w:t xml:space="preserve"> inscrição do ato constitutivo da fili</w:t>
      </w:r>
      <w:r>
        <w:rPr>
          <w:rFonts w:ascii="Arial" w:eastAsia="Arial" w:hAnsi="Arial" w:cs="Arial"/>
          <w:color w:val="000000"/>
          <w:sz w:val="20"/>
          <w:szCs w:val="20"/>
        </w:rPr>
        <w:t>al, sucursal ou agência da sociedade simples ou empresária, respectivamente, no Registro Civil das Pessoas Jurídicas ou no Registro Público de Empresas Mercantis onde opera, com averbação no Registro onde tem sede a matriz.</w:t>
      </w:r>
    </w:p>
    <w:p w14:paraId="6A5C403D"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b/>
          <w:color w:val="000000"/>
          <w:sz w:val="20"/>
          <w:szCs w:val="20"/>
        </w:rPr>
        <w:t>Sociedade cooperativa:</w:t>
      </w:r>
      <w:r>
        <w:rPr>
          <w:rFonts w:ascii="Arial" w:eastAsia="Arial" w:hAnsi="Arial" w:cs="Arial"/>
          <w:color w:val="000000"/>
          <w:sz w:val="20"/>
          <w:szCs w:val="20"/>
        </w:rPr>
        <w:t xml:space="preserve"> ata de fu</w:t>
      </w:r>
      <w:r>
        <w:rPr>
          <w:rFonts w:ascii="Arial" w:eastAsia="Arial" w:hAnsi="Arial" w:cs="Arial"/>
          <w:color w:val="000000"/>
          <w:sz w:val="20"/>
          <w:szCs w:val="20"/>
        </w:rPr>
        <w:t xml:space="preserve">ndação e estatuto social, com a ata da assembleia que o aprovou, devidamente arquivado na Junta Comercial ou inscrito no Registro Civil das Pessoas Jurídicas da respectiva sede, além do registro de que trata o </w:t>
      </w:r>
      <w:hyperlink r:id="rId41" w:anchor="art107">
        <w:r>
          <w:rPr>
            <w:rFonts w:ascii="Arial" w:eastAsia="Arial" w:hAnsi="Arial" w:cs="Arial"/>
            <w:color w:val="000080"/>
            <w:sz w:val="20"/>
            <w:szCs w:val="20"/>
            <w:u w:val="single"/>
          </w:rPr>
          <w:t>art. 107 da Lei nº 5.764, de 16 de dezembro 1971</w:t>
        </w:r>
      </w:hyperlink>
      <w:r>
        <w:rPr>
          <w:rFonts w:ascii="Arial" w:eastAsia="Arial" w:hAnsi="Arial" w:cs="Arial"/>
          <w:color w:val="000000"/>
          <w:sz w:val="20"/>
          <w:szCs w:val="20"/>
        </w:rPr>
        <w:t>.</w:t>
      </w:r>
    </w:p>
    <w:p w14:paraId="70194DE2"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documentos apresentados deverão estar acompanhados de todas as alterações ou da consolidação respectiva.</w:t>
      </w:r>
    </w:p>
    <w:p w14:paraId="15CDBC42"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color w:val="000000"/>
          <w:sz w:val="20"/>
          <w:szCs w:val="20"/>
        </w:rPr>
      </w:pPr>
      <w:r>
        <w:rPr>
          <w:rFonts w:ascii="Arial" w:eastAsia="Arial" w:hAnsi="Arial" w:cs="Arial"/>
          <w:b/>
          <w:color w:val="000000"/>
          <w:sz w:val="20"/>
          <w:szCs w:val="20"/>
        </w:rPr>
        <w:t>Habilitação fiscal, social e trabalhista</w:t>
      </w:r>
    </w:p>
    <w:p w14:paraId="10BBEBD9"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Prova de inscrição </w:t>
      </w:r>
      <w:r>
        <w:rPr>
          <w:rFonts w:ascii="Arial" w:eastAsia="Arial" w:hAnsi="Arial" w:cs="Arial"/>
          <w:color w:val="000000"/>
          <w:sz w:val="20"/>
          <w:szCs w:val="20"/>
        </w:rPr>
        <w:t>no Cadastro Nacional de Pessoas Jurídicas ou no Cadastro de Pessoas Físicas, conforme o caso;</w:t>
      </w:r>
    </w:p>
    <w:p w14:paraId="14539C55"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Prova de regularidade fiscal perante a Fazenda Nacional, mediante apresentação de certidão expedida conjuntamente pela Secretaria da Receita Federal do Brasil (RF</w:t>
      </w:r>
      <w:r>
        <w:rPr>
          <w:rFonts w:ascii="Arial" w:eastAsia="Arial" w:hAnsi="Arial" w:cs="Arial"/>
          <w:color w:val="000000"/>
          <w:sz w:val="20"/>
          <w:szCs w:val="20"/>
        </w:rPr>
        <w:t>B) e pela Procuradoria-Geral da Fazenda Nacional (PGFN), referente a todos os créditos tributários federais e à Dívida Ativa da União (DAU) por elas administrados, inclusive aqueles relativos à Seguridade Social, nos termos da Portaria Conjunta nº 1.751, d</w:t>
      </w:r>
      <w:r>
        <w:rPr>
          <w:rFonts w:ascii="Arial" w:eastAsia="Arial" w:hAnsi="Arial" w:cs="Arial"/>
          <w:color w:val="000000"/>
          <w:sz w:val="20"/>
          <w:szCs w:val="20"/>
        </w:rPr>
        <w:t>e 02 de outubro de 2014, do Secretário da Receita Federal do Brasil e da Procuradora-Geral da Fazenda Nacional.</w:t>
      </w:r>
    </w:p>
    <w:p w14:paraId="66A11AB4"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Prova de regularidade com o Fundo de Garantia do Tempo de Serviço (FGTS);</w:t>
      </w:r>
    </w:p>
    <w:p w14:paraId="4D8A6393"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w:t>
      </w:r>
      <w:r>
        <w:rPr>
          <w:rFonts w:ascii="Arial" w:eastAsia="Arial" w:hAnsi="Arial" w:cs="Arial"/>
          <w:color w:val="000000"/>
          <w:sz w:val="20"/>
          <w:szCs w:val="20"/>
        </w:rPr>
        <w:t>2, de 1º de maio de 1943;</w:t>
      </w:r>
    </w:p>
    <w:p w14:paraId="511AE5BA"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lastRenderedPageBreak/>
        <w:t>Prova de inscrição no cadastro de contribuintes</w:t>
      </w:r>
      <w:r>
        <w:rPr>
          <w:rFonts w:ascii="Arial" w:eastAsia="Arial" w:hAnsi="Arial" w:cs="Arial"/>
          <w:color w:val="FF0000"/>
          <w:sz w:val="20"/>
          <w:szCs w:val="20"/>
        </w:rPr>
        <w:t xml:space="preserve"> </w:t>
      </w:r>
      <w:r>
        <w:rPr>
          <w:rFonts w:ascii="Arial" w:eastAsia="Arial" w:hAnsi="Arial" w:cs="Arial"/>
          <w:sz w:val="20"/>
          <w:szCs w:val="20"/>
        </w:rPr>
        <w:t>Municipal</w:t>
      </w:r>
      <w:r>
        <w:rPr>
          <w:rFonts w:ascii="Arial" w:eastAsia="Arial" w:hAnsi="Arial" w:cs="Arial"/>
          <w:sz w:val="20"/>
          <w:szCs w:val="20"/>
        </w:rPr>
        <w:t>/Distrital</w:t>
      </w:r>
      <w:r>
        <w:rPr>
          <w:rFonts w:ascii="Arial" w:eastAsia="Arial" w:hAnsi="Arial" w:cs="Arial"/>
          <w:color w:val="FF0000"/>
          <w:sz w:val="20"/>
          <w:szCs w:val="20"/>
        </w:rPr>
        <w:t xml:space="preserve"> </w:t>
      </w:r>
      <w:r>
        <w:rPr>
          <w:rFonts w:ascii="Arial" w:eastAsia="Arial" w:hAnsi="Arial" w:cs="Arial"/>
          <w:color w:val="000000"/>
          <w:sz w:val="20"/>
          <w:szCs w:val="20"/>
        </w:rPr>
        <w:t>relativo ao domicílio ou sede do fornecedor, pertinente ao seu ramo de atividade e compatível com o objeto contratual;</w:t>
      </w:r>
    </w:p>
    <w:p w14:paraId="0FEBFCEB"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Prova de regularidade com a Fazenda </w:t>
      </w:r>
      <w:r>
        <w:rPr>
          <w:rFonts w:ascii="Arial" w:eastAsia="Arial" w:hAnsi="Arial" w:cs="Arial"/>
          <w:sz w:val="20"/>
          <w:szCs w:val="20"/>
        </w:rPr>
        <w:t>Municip</w:t>
      </w:r>
      <w:r>
        <w:rPr>
          <w:rFonts w:ascii="Arial" w:eastAsia="Arial" w:hAnsi="Arial" w:cs="Arial"/>
          <w:sz w:val="20"/>
          <w:szCs w:val="20"/>
        </w:rPr>
        <w:t>a</w:t>
      </w:r>
      <w:r>
        <w:rPr>
          <w:rFonts w:ascii="Arial" w:eastAsia="Arial" w:hAnsi="Arial" w:cs="Arial"/>
          <w:sz w:val="20"/>
          <w:szCs w:val="20"/>
        </w:rPr>
        <w:t>l/Distrital</w:t>
      </w:r>
      <w:r>
        <w:rPr>
          <w:rFonts w:ascii="Arial" w:eastAsia="Arial" w:hAnsi="Arial" w:cs="Arial"/>
          <w:color w:val="FF0000"/>
          <w:sz w:val="20"/>
          <w:szCs w:val="20"/>
        </w:rPr>
        <w:t xml:space="preserve"> </w:t>
      </w:r>
      <w:r>
        <w:rPr>
          <w:rFonts w:ascii="Arial" w:eastAsia="Arial" w:hAnsi="Arial" w:cs="Arial"/>
          <w:color w:val="000000"/>
          <w:sz w:val="20"/>
          <w:szCs w:val="20"/>
        </w:rPr>
        <w:t>d</w:t>
      </w:r>
      <w:r>
        <w:rPr>
          <w:rFonts w:ascii="Arial" w:eastAsia="Arial" w:hAnsi="Arial" w:cs="Arial"/>
          <w:color w:val="000000"/>
          <w:sz w:val="20"/>
          <w:szCs w:val="20"/>
        </w:rPr>
        <w:t>o domicílio ou sede do fornecedor, relativa à atividade em cujo exercício contrata ou concorre;</w:t>
      </w:r>
    </w:p>
    <w:p w14:paraId="6B528FDF"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Caso o fornecedor seja considerado isento dos tributos </w:t>
      </w:r>
      <w:r>
        <w:rPr>
          <w:rFonts w:ascii="Arial" w:eastAsia="Arial" w:hAnsi="Arial" w:cs="Arial"/>
          <w:sz w:val="20"/>
          <w:szCs w:val="20"/>
        </w:rPr>
        <w:t>Municipa</w:t>
      </w:r>
      <w:r>
        <w:rPr>
          <w:rFonts w:ascii="Arial" w:eastAsia="Arial" w:hAnsi="Arial" w:cs="Arial"/>
          <w:sz w:val="20"/>
          <w:szCs w:val="20"/>
        </w:rPr>
        <w:t>is</w:t>
      </w:r>
      <w:r>
        <w:rPr>
          <w:rFonts w:ascii="Arial" w:eastAsia="Arial" w:hAnsi="Arial" w:cs="Arial"/>
          <w:sz w:val="20"/>
          <w:szCs w:val="20"/>
        </w:rPr>
        <w:t>/</w:t>
      </w:r>
      <w:r>
        <w:rPr>
          <w:rFonts w:ascii="Arial" w:eastAsia="Arial" w:hAnsi="Arial" w:cs="Arial"/>
          <w:sz w:val="20"/>
          <w:szCs w:val="20"/>
        </w:rPr>
        <w:t>Distrital</w:t>
      </w:r>
      <w:r>
        <w:rPr>
          <w:rFonts w:ascii="Arial" w:eastAsia="Arial" w:hAnsi="Arial" w:cs="Arial"/>
          <w:color w:val="FF0000"/>
          <w:sz w:val="20"/>
          <w:szCs w:val="20"/>
        </w:rPr>
        <w:t xml:space="preserve"> </w:t>
      </w:r>
      <w:r>
        <w:rPr>
          <w:rFonts w:ascii="Arial" w:eastAsia="Arial" w:hAnsi="Arial" w:cs="Arial"/>
          <w:color w:val="000000"/>
          <w:sz w:val="20"/>
          <w:szCs w:val="20"/>
        </w:rPr>
        <w:t>r</w:t>
      </w:r>
      <w:r>
        <w:rPr>
          <w:rFonts w:ascii="Arial" w:eastAsia="Arial" w:hAnsi="Arial" w:cs="Arial"/>
          <w:color w:val="000000"/>
          <w:sz w:val="20"/>
          <w:szCs w:val="20"/>
        </w:rPr>
        <w:t>elacionados ao objeto contratual, deverá comprovar tal condição mediante a apresentação de declaração da Fazenda respectiva do seu domicílio ou sede, ou outra equivalente, na forma da lei.</w:t>
      </w:r>
    </w:p>
    <w:p w14:paraId="5966494F"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fornecedor enquadrado como microempreendedor individual que prete</w:t>
      </w:r>
      <w:r>
        <w:rPr>
          <w:rFonts w:ascii="Arial" w:eastAsia="Arial" w:hAnsi="Arial" w:cs="Arial"/>
          <w:color w:val="000000"/>
          <w:sz w:val="20"/>
          <w:szCs w:val="20"/>
        </w:rPr>
        <w:t>nda auferir os benefícios do tratamento diferenciado previstos na Lei Complementar n. 123, de 2006, estará dispensado da prova de inscrição nos cadastros de contribuintes estadual e municipal.</w:t>
      </w:r>
    </w:p>
    <w:p w14:paraId="441739BC"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color w:val="000000"/>
          <w:sz w:val="20"/>
          <w:szCs w:val="20"/>
        </w:rPr>
      </w:pPr>
      <w:r>
        <w:rPr>
          <w:rFonts w:ascii="Arial" w:eastAsia="Arial" w:hAnsi="Arial" w:cs="Arial"/>
          <w:b/>
          <w:color w:val="000000"/>
          <w:sz w:val="20"/>
          <w:szCs w:val="20"/>
        </w:rPr>
        <w:t>Qualificação Econômico-Financeira</w:t>
      </w:r>
    </w:p>
    <w:p w14:paraId="4A0EB990"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Certidão negativa de insolvência civil expedida pelo distribuidor do domicílio ou sede do licitante, caso se trate de pessoa física, desde que admitida a sua participação na licitação (art. 5º, inciso II, alínea “c”, da Instrução Normativa Seges/ME nº 116,</w:t>
      </w:r>
      <w:r>
        <w:rPr>
          <w:rFonts w:ascii="Arial" w:eastAsia="Arial" w:hAnsi="Arial" w:cs="Arial"/>
          <w:color w:val="000000"/>
          <w:sz w:val="20"/>
          <w:szCs w:val="20"/>
        </w:rPr>
        <w:t xml:space="preserve"> de 2021), ou de sociedade simples;</w:t>
      </w:r>
    </w:p>
    <w:p w14:paraId="31F1A21B"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Certidão negativa de falência expedida pelo distribuidor da sede do fornecedor - Lei nº 14.133, de 2021, art. 69, caput, inciso II);</w:t>
      </w:r>
    </w:p>
    <w:p w14:paraId="1DE4A2A7"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Balanço patrimonial, demonstração de resultado de exercício e demais demonstrações cont</w:t>
      </w:r>
      <w:r>
        <w:rPr>
          <w:rFonts w:ascii="Arial" w:eastAsia="Arial" w:hAnsi="Arial" w:cs="Arial"/>
          <w:color w:val="000000"/>
          <w:sz w:val="20"/>
          <w:szCs w:val="20"/>
        </w:rPr>
        <w:t>ábeis dos 2 (dois) últimos exercícios sociais, comprovando:</w:t>
      </w:r>
    </w:p>
    <w:p w14:paraId="6740A706"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índices de Liquidez Geral (LG), Liquidez Corrente (LC), e Solvência Geral (SG) superiores a 1 (um);</w:t>
      </w:r>
    </w:p>
    <w:p w14:paraId="36548086"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As empresas criadas no exercício financeiro da licitação deverão atender a todas as exigências d</w:t>
      </w:r>
      <w:r>
        <w:rPr>
          <w:rFonts w:ascii="Arial" w:eastAsia="Arial" w:hAnsi="Arial" w:cs="Arial"/>
          <w:color w:val="000000"/>
          <w:sz w:val="20"/>
          <w:szCs w:val="20"/>
        </w:rPr>
        <w:t>a habilitação e poderão substituir os demonstrativos contábeis pelo balanço de abertura; e</w:t>
      </w:r>
    </w:p>
    <w:p w14:paraId="62D36B5F"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Os documentos referidos acima limitar-se-ão ao último exercício no caso de a pessoa jurídica ter sido constituída há menos de 2 (dois) anos. </w:t>
      </w:r>
    </w:p>
    <w:p w14:paraId="63CAFB6B"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documentos referidos</w:t>
      </w:r>
      <w:r>
        <w:rPr>
          <w:rFonts w:ascii="Arial" w:eastAsia="Arial" w:hAnsi="Arial" w:cs="Arial"/>
          <w:color w:val="000000"/>
          <w:sz w:val="20"/>
          <w:szCs w:val="20"/>
        </w:rPr>
        <w:t xml:space="preserve"> acima deverão ser exigidos com base no limite definido pela Receita Federal do Brasil para transmissão da Escrituração Contábil Digital - ECD ao </w:t>
      </w:r>
      <w:proofErr w:type="spellStart"/>
      <w:r>
        <w:rPr>
          <w:rFonts w:ascii="Arial" w:eastAsia="Arial" w:hAnsi="Arial" w:cs="Arial"/>
          <w:color w:val="000000"/>
          <w:sz w:val="20"/>
          <w:szCs w:val="20"/>
        </w:rPr>
        <w:t>Sped</w:t>
      </w:r>
      <w:proofErr w:type="spellEnd"/>
      <w:r>
        <w:rPr>
          <w:rFonts w:ascii="Arial" w:eastAsia="Arial" w:hAnsi="Arial" w:cs="Arial"/>
          <w:color w:val="000000"/>
          <w:sz w:val="20"/>
          <w:szCs w:val="20"/>
        </w:rPr>
        <w:t>.</w:t>
      </w:r>
    </w:p>
    <w:p w14:paraId="7D1C24E3"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Caso a empresa licitante apresente resultado inferior ou igual a 1 (um) em qualquer dos índices de Liqui</w:t>
      </w:r>
      <w:r>
        <w:rPr>
          <w:rFonts w:ascii="Arial" w:eastAsia="Arial" w:hAnsi="Arial" w:cs="Arial"/>
          <w:color w:val="000000"/>
          <w:sz w:val="20"/>
          <w:szCs w:val="20"/>
        </w:rPr>
        <w:t>dez Geral (LG), Solvência Geral (SG) e Liquidez Corrente (LC), será exigido para fins de ha</w:t>
      </w:r>
      <w:r>
        <w:rPr>
          <w:rFonts w:ascii="Arial" w:eastAsia="Arial" w:hAnsi="Arial" w:cs="Arial"/>
          <w:sz w:val="20"/>
          <w:szCs w:val="20"/>
        </w:rPr>
        <w:t xml:space="preserve">bilitação patrimônio líquido mínimo de </w:t>
      </w:r>
      <w:r>
        <w:rPr>
          <w:rFonts w:ascii="Arial" w:eastAsia="Arial" w:hAnsi="Arial" w:cs="Arial"/>
          <w:sz w:val="20"/>
          <w:szCs w:val="20"/>
        </w:rPr>
        <w:t xml:space="preserve">8% (dez por cento) </w:t>
      </w:r>
      <w:r>
        <w:rPr>
          <w:rFonts w:ascii="Arial" w:eastAsia="Arial" w:hAnsi="Arial" w:cs="Arial"/>
          <w:sz w:val="20"/>
          <w:szCs w:val="20"/>
        </w:rPr>
        <w:t>do valor total estimado da contratação</w:t>
      </w:r>
      <w:r>
        <w:rPr>
          <w:rFonts w:ascii="Arial" w:eastAsia="Arial" w:hAnsi="Arial" w:cs="Arial"/>
          <w:sz w:val="20"/>
          <w:szCs w:val="20"/>
        </w:rPr>
        <w:t>.</w:t>
      </w:r>
    </w:p>
    <w:p w14:paraId="3BC023AF"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As empresas criadas no exercício financeiro da licitação deverão at</w:t>
      </w:r>
      <w:r>
        <w:rPr>
          <w:rFonts w:ascii="Arial" w:eastAsia="Arial" w:hAnsi="Arial" w:cs="Arial"/>
          <w:color w:val="000000"/>
          <w:sz w:val="20"/>
          <w:szCs w:val="20"/>
        </w:rPr>
        <w:t>ender a todas as exigências da habilitação e poderão substituir os demonstrativos contábeis pelo balanço de abertura. (Lei nº 14.133, de 2021, art. 65, §1º).</w:t>
      </w:r>
    </w:p>
    <w:p w14:paraId="5525B6EE" w14:textId="77777777" w:rsidR="00D62F37" w:rsidRDefault="00114804">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color w:val="000000"/>
          <w:sz w:val="20"/>
          <w:szCs w:val="20"/>
        </w:rPr>
      </w:pPr>
      <w:r>
        <w:rPr>
          <w:rFonts w:ascii="Arial" w:eastAsia="Arial" w:hAnsi="Arial" w:cs="Arial"/>
          <w:b/>
          <w:color w:val="000000"/>
          <w:sz w:val="20"/>
          <w:szCs w:val="20"/>
        </w:rPr>
        <w:t>Qualificação Técnica</w:t>
      </w:r>
    </w:p>
    <w:p w14:paraId="22E7B7CE" w14:textId="77777777" w:rsidR="00D62F37" w:rsidRDefault="00114804">
      <w:pPr>
        <w:numPr>
          <w:ilvl w:val="1"/>
          <w:numId w:val="1"/>
        </w:numPr>
        <w:pBdr>
          <w:top w:val="nil"/>
          <w:left w:val="nil"/>
          <w:bottom w:val="nil"/>
          <w:right w:val="nil"/>
          <w:between w:val="nil"/>
        </w:pBdr>
        <w:spacing w:before="120" w:after="120" w:line="276" w:lineRule="auto"/>
        <w:jc w:val="both"/>
      </w:pPr>
      <w:bookmarkStart w:id="6" w:name="_heading=h.4d34og8" w:colFirst="0" w:colLast="0"/>
      <w:bookmarkEnd w:id="6"/>
      <w:r>
        <w:rPr>
          <w:rFonts w:ascii="Arial" w:eastAsia="Arial" w:hAnsi="Arial" w:cs="Arial"/>
          <w:color w:val="000000"/>
          <w:sz w:val="20"/>
          <w:szCs w:val="20"/>
        </w:rPr>
        <w:t>Declaração de que o licitante tomou conhecimento de todas as informações e das condições locais para o cumprimento das obrigações objeto da licitação;</w:t>
      </w:r>
    </w:p>
    <w:p w14:paraId="2E833088"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declaração acima poderá ser substituída por declaração formal assinada pelo responsável técnico do lici</w:t>
      </w:r>
      <w:r>
        <w:rPr>
          <w:rFonts w:ascii="Arial" w:eastAsia="Arial" w:hAnsi="Arial" w:cs="Arial"/>
          <w:color w:val="000000"/>
          <w:sz w:val="20"/>
          <w:szCs w:val="20"/>
        </w:rPr>
        <w:t>tante acerca do conhecimento pleno das condições e peculiaridades da contratação</w:t>
      </w:r>
    </w:p>
    <w:p w14:paraId="79E98AF3"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lastRenderedPageBreak/>
        <w:t>Autorização da empresa junto à Agência Nacional de Telecom</w:t>
      </w:r>
      <w:r>
        <w:rPr>
          <w:rFonts w:ascii="Arial" w:eastAsia="Arial" w:hAnsi="Arial" w:cs="Arial"/>
          <w:sz w:val="20"/>
          <w:szCs w:val="20"/>
        </w:rPr>
        <w:t>unicações (ANATEL)</w:t>
      </w:r>
      <w:r>
        <w:rPr>
          <w:rFonts w:ascii="Arial" w:eastAsia="Arial" w:hAnsi="Arial" w:cs="Arial"/>
          <w:color w:val="000000"/>
          <w:sz w:val="20"/>
          <w:szCs w:val="20"/>
        </w:rPr>
        <w:t>, em plena validade, para prestação de serviço de acesso à internet;</w:t>
      </w:r>
    </w:p>
    <w:p w14:paraId="0F84794D"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Caso admitida a participação d</w:t>
      </w:r>
      <w:r>
        <w:rPr>
          <w:rFonts w:ascii="Arial" w:eastAsia="Arial" w:hAnsi="Arial" w:cs="Arial"/>
          <w:color w:val="000000"/>
          <w:sz w:val="20"/>
          <w:szCs w:val="20"/>
        </w:rPr>
        <w:t>e cooperativas, será exigida a seguinte documentação complementar:</w:t>
      </w:r>
    </w:p>
    <w:p w14:paraId="682E3D89"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relação dos cooperados que atendem aos requisitos técnicos exigidos para a contratação e que executarão o contrato, com as respectivas atas de inscrição e a comprovação de que estão domic</w:t>
      </w:r>
      <w:r>
        <w:rPr>
          <w:rFonts w:ascii="Arial" w:eastAsia="Arial" w:hAnsi="Arial" w:cs="Arial"/>
          <w:color w:val="000000"/>
          <w:sz w:val="20"/>
          <w:szCs w:val="20"/>
        </w:rPr>
        <w:t xml:space="preserve">iliados na localidade da sede da cooperativa, respeitado o disposto nos </w:t>
      </w:r>
      <w:hyperlink r:id="rId42" w:anchor="art4">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4º, inciso XI, 21, inciso I</w:t>
        </w:r>
      </w:hyperlink>
      <w:r>
        <w:rPr>
          <w:rFonts w:ascii="Arial" w:eastAsia="Arial" w:hAnsi="Arial" w:cs="Arial"/>
          <w:color w:val="000000"/>
          <w:sz w:val="20"/>
          <w:szCs w:val="20"/>
        </w:rPr>
        <w:t xml:space="preserve"> e </w:t>
      </w:r>
      <w:hyperlink r:id="rId43" w:anchor="art42">
        <w:r>
          <w:rPr>
            <w:rFonts w:ascii="Arial" w:eastAsia="Arial" w:hAnsi="Arial" w:cs="Arial"/>
            <w:color w:val="000080"/>
            <w:sz w:val="20"/>
            <w:szCs w:val="20"/>
            <w:u w:val="single"/>
          </w:rPr>
          <w:t>42, §§2º a 6º da Lei n. 5.764, de 1971</w:t>
        </w:r>
      </w:hyperlink>
      <w:r>
        <w:rPr>
          <w:rFonts w:ascii="Arial" w:eastAsia="Arial" w:hAnsi="Arial" w:cs="Arial"/>
          <w:color w:val="000000"/>
          <w:sz w:val="20"/>
          <w:szCs w:val="20"/>
        </w:rPr>
        <w:t>;</w:t>
      </w:r>
    </w:p>
    <w:p w14:paraId="50FBA44F"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declaração de regularidade de situação do contribuinte individual – DRSCI, para cada um dos cooperados indicados;</w:t>
      </w:r>
    </w:p>
    <w:p w14:paraId="60DB47FC"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comprovação do ca</w:t>
      </w:r>
      <w:r>
        <w:rPr>
          <w:rFonts w:ascii="Arial" w:eastAsia="Arial" w:hAnsi="Arial" w:cs="Arial"/>
          <w:color w:val="000000"/>
          <w:sz w:val="20"/>
          <w:szCs w:val="20"/>
        </w:rPr>
        <w:t>pital social proporcional ao número de cooperados necessários à prestação do serviço;</w:t>
      </w:r>
    </w:p>
    <w:p w14:paraId="57656DDB"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 registro previsto na </w:t>
      </w:r>
      <w:hyperlink r:id="rId44" w:anchor="art107">
        <w:r>
          <w:rPr>
            <w:rFonts w:ascii="Arial" w:eastAsia="Arial" w:hAnsi="Arial" w:cs="Arial"/>
            <w:color w:val="000080"/>
            <w:sz w:val="20"/>
            <w:szCs w:val="20"/>
            <w:u w:val="single"/>
          </w:rPr>
          <w:t>Lei n. 5.764, de 1971, art. 107</w:t>
        </w:r>
      </w:hyperlink>
      <w:r>
        <w:rPr>
          <w:rFonts w:ascii="Arial" w:eastAsia="Arial" w:hAnsi="Arial" w:cs="Arial"/>
          <w:color w:val="000000"/>
          <w:sz w:val="20"/>
          <w:szCs w:val="20"/>
        </w:rPr>
        <w:t>;</w:t>
      </w:r>
    </w:p>
    <w:p w14:paraId="69344632"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 A comprovação de integração das respectivas quotas-partes por parte dos cooperados que executarão o contrato; e</w:t>
      </w:r>
    </w:p>
    <w:p w14:paraId="1575CBA0"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 Os seguintes documentos par</w:t>
      </w:r>
      <w:r>
        <w:rPr>
          <w:rFonts w:ascii="Arial" w:eastAsia="Arial" w:hAnsi="Arial" w:cs="Arial"/>
          <w:color w:val="000000"/>
          <w:sz w:val="20"/>
          <w:szCs w:val="20"/>
        </w:rPr>
        <w:t xml:space="preserve">a a comprovação da regularidade jurídica da cooperativa: a) ata de fundação; b) estatuto social com a ata da assembleia que o aprovou; c) regimento dos fundos instituídos pelos cooperados, com a ata da assembleia; d) editais de convocação das três últimas </w:t>
      </w:r>
      <w:r>
        <w:rPr>
          <w:rFonts w:ascii="Arial" w:eastAsia="Arial" w:hAnsi="Arial" w:cs="Arial"/>
          <w:color w:val="000000"/>
          <w:sz w:val="20"/>
          <w:szCs w:val="20"/>
        </w:rPr>
        <w:t>assembleias gerais extraordinárias; e) três registros de presença dos cooperados que executarão o contrato em assembleias gerais ou nas reuniões seccionais; e f) ata da sessão que os cooperados autorizaram a cooperativa a contratar o objeto da licitação;</w:t>
      </w:r>
    </w:p>
    <w:p w14:paraId="63117C55" w14:textId="77777777" w:rsidR="00D62F37" w:rsidRDefault="00114804">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w:t>
      </w:r>
      <w:r>
        <w:rPr>
          <w:rFonts w:ascii="Arial" w:eastAsia="Arial" w:hAnsi="Arial" w:cs="Arial"/>
          <w:color w:val="000000"/>
          <w:sz w:val="20"/>
          <w:szCs w:val="20"/>
        </w:rPr>
        <w:t xml:space="preserve"> última auditoria contábil-financeira da cooperativa, conforme dispõe o </w:t>
      </w:r>
      <w:hyperlink r:id="rId45" w:anchor="art112">
        <w:r>
          <w:rPr>
            <w:rFonts w:ascii="Arial" w:eastAsia="Arial" w:hAnsi="Arial" w:cs="Arial"/>
            <w:color w:val="000080"/>
            <w:sz w:val="20"/>
            <w:szCs w:val="20"/>
            <w:u w:val="single"/>
          </w:rPr>
          <w:t>art. 112 da Lei n. 5.764, de 1971</w:t>
        </w:r>
      </w:hyperlink>
      <w:r>
        <w:rPr>
          <w:rFonts w:ascii="Arial" w:eastAsia="Arial" w:hAnsi="Arial" w:cs="Arial"/>
          <w:color w:val="000000"/>
          <w:sz w:val="20"/>
          <w:szCs w:val="20"/>
        </w:rPr>
        <w:t xml:space="preserve">, ou uma declaração, sob as penas da lei, de que tal auditoria não </w:t>
      </w:r>
      <w:r>
        <w:rPr>
          <w:rFonts w:ascii="Arial" w:eastAsia="Arial" w:hAnsi="Arial" w:cs="Arial"/>
          <w:color w:val="000000"/>
          <w:sz w:val="20"/>
          <w:szCs w:val="20"/>
        </w:rPr>
        <w:t>foi exigida pelo órgão fiscalizador.</w:t>
      </w:r>
    </w:p>
    <w:p w14:paraId="30DBC676" w14:textId="77777777" w:rsidR="00D62F37" w:rsidRDefault="00114804">
      <w:pPr>
        <w:keepNext/>
        <w:keepLines/>
        <w:numPr>
          <w:ilvl w:val="0"/>
          <w:numId w:val="1"/>
        </w:numPr>
        <w:pBdr>
          <w:top w:val="nil"/>
          <w:left w:val="nil"/>
          <w:bottom w:val="nil"/>
          <w:right w:val="nil"/>
          <w:between w:val="nil"/>
        </w:pBdr>
        <w:tabs>
          <w:tab w:val="left" w:pos="-709"/>
        </w:tabs>
        <w:spacing w:before="240" w:after="120" w:line="276" w:lineRule="auto"/>
        <w:jc w:val="both"/>
      </w:pPr>
      <w:r>
        <w:rPr>
          <w:rFonts w:ascii="Arial" w:eastAsia="Arial" w:hAnsi="Arial" w:cs="Arial"/>
          <w:b/>
          <w:color w:val="000000"/>
          <w:sz w:val="20"/>
          <w:szCs w:val="20"/>
        </w:rPr>
        <w:t>ESTIMATIVAS DO VALOR DA CONTRATAÇÃO</w:t>
      </w:r>
    </w:p>
    <w:p w14:paraId="7A5960D3"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custo estimado total da cont</w:t>
      </w:r>
      <w:r>
        <w:rPr>
          <w:rFonts w:ascii="Arial" w:eastAsia="Arial" w:hAnsi="Arial" w:cs="Arial"/>
          <w:color w:val="000000"/>
          <w:sz w:val="20"/>
          <w:szCs w:val="20"/>
        </w:rPr>
        <w:t xml:space="preserve">ratação é de </w:t>
      </w:r>
      <w:r>
        <w:rPr>
          <w:rFonts w:ascii="Arial" w:eastAsia="Arial" w:hAnsi="Arial" w:cs="Arial"/>
          <w:sz w:val="20"/>
          <w:szCs w:val="20"/>
        </w:rPr>
        <w:t xml:space="preserve">R$ 91.999,52 </w:t>
      </w:r>
      <w:r>
        <w:rPr>
          <w:rFonts w:ascii="Arial" w:eastAsia="Arial" w:hAnsi="Arial" w:cs="Arial"/>
          <w:color w:val="000000"/>
          <w:sz w:val="20"/>
          <w:szCs w:val="20"/>
        </w:rPr>
        <w:t>(</w:t>
      </w:r>
      <w:r>
        <w:rPr>
          <w:rFonts w:ascii="Arial" w:eastAsia="Arial" w:hAnsi="Arial" w:cs="Arial"/>
          <w:sz w:val="20"/>
          <w:szCs w:val="20"/>
        </w:rPr>
        <w:t>noventa e um mil e novecentos e noventa e nove reais e cinquenta e dois centavos</w:t>
      </w:r>
      <w:r>
        <w:rPr>
          <w:rFonts w:ascii="Arial" w:eastAsia="Arial" w:hAnsi="Arial" w:cs="Arial"/>
          <w:color w:val="000000"/>
          <w:sz w:val="20"/>
          <w:szCs w:val="20"/>
        </w:rPr>
        <w:t>)</w:t>
      </w:r>
      <w:r>
        <w:rPr>
          <w:rFonts w:ascii="Arial" w:eastAsia="Arial" w:hAnsi="Arial" w:cs="Arial"/>
          <w:sz w:val="20"/>
          <w:szCs w:val="20"/>
        </w:rPr>
        <w:t>,</w:t>
      </w:r>
      <w:r>
        <w:rPr>
          <w:rFonts w:ascii="Arial" w:eastAsia="Arial" w:hAnsi="Arial" w:cs="Arial"/>
          <w:color w:val="000000"/>
          <w:sz w:val="20"/>
          <w:szCs w:val="20"/>
        </w:rPr>
        <w:t xml:space="preserve"> </w:t>
      </w:r>
      <w:r>
        <w:rPr>
          <w:rFonts w:ascii="Arial" w:eastAsia="Arial" w:hAnsi="Arial" w:cs="Arial"/>
          <w:color w:val="000000"/>
          <w:sz w:val="20"/>
          <w:szCs w:val="20"/>
        </w:rPr>
        <w:t>co</w:t>
      </w:r>
      <w:r>
        <w:rPr>
          <w:rFonts w:ascii="Arial" w:eastAsia="Arial" w:hAnsi="Arial" w:cs="Arial"/>
          <w:color w:val="000000"/>
          <w:sz w:val="20"/>
          <w:szCs w:val="20"/>
        </w:rPr>
        <w:t xml:space="preserve">nforme custos unitários apostos na tabela </w:t>
      </w:r>
      <w:r>
        <w:rPr>
          <w:rFonts w:ascii="Arial" w:eastAsia="Arial" w:hAnsi="Arial" w:cs="Arial"/>
          <w:sz w:val="20"/>
          <w:szCs w:val="20"/>
        </w:rPr>
        <w:t>do item 1.1 deste instrumento.</w:t>
      </w:r>
    </w:p>
    <w:p w14:paraId="51E47530" w14:textId="77777777" w:rsidR="00D62F37" w:rsidRDefault="00114804">
      <w:pPr>
        <w:keepNext/>
        <w:keepLines/>
        <w:numPr>
          <w:ilvl w:val="0"/>
          <w:numId w:val="1"/>
        </w:numPr>
        <w:pBdr>
          <w:top w:val="nil"/>
          <w:left w:val="nil"/>
          <w:bottom w:val="nil"/>
          <w:right w:val="nil"/>
          <w:between w:val="nil"/>
        </w:pBdr>
        <w:tabs>
          <w:tab w:val="left" w:pos="-709"/>
        </w:tabs>
        <w:spacing w:before="240" w:after="120" w:line="276" w:lineRule="auto"/>
        <w:jc w:val="both"/>
      </w:pPr>
      <w:r>
        <w:rPr>
          <w:rFonts w:ascii="Arial" w:eastAsia="Arial" w:hAnsi="Arial" w:cs="Arial"/>
          <w:b/>
          <w:color w:val="000000"/>
          <w:sz w:val="20"/>
          <w:szCs w:val="20"/>
        </w:rPr>
        <w:t>ADEQUAÇÃO ORÇAMENTÁRIA</w:t>
      </w:r>
    </w:p>
    <w:p w14:paraId="44709A10"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As despesas decorrentes da presente contratação correrão à conta de recurso</w:t>
      </w:r>
      <w:r>
        <w:rPr>
          <w:rFonts w:ascii="Arial" w:eastAsia="Arial" w:hAnsi="Arial" w:cs="Arial"/>
          <w:color w:val="000000"/>
          <w:sz w:val="20"/>
          <w:szCs w:val="20"/>
        </w:rPr>
        <w:t>s específicos co</w:t>
      </w:r>
      <w:r>
        <w:rPr>
          <w:rFonts w:ascii="Arial" w:eastAsia="Arial" w:hAnsi="Arial" w:cs="Arial"/>
          <w:color w:val="000000"/>
          <w:sz w:val="20"/>
          <w:szCs w:val="20"/>
        </w:rPr>
        <w:t>nsignados no Orçamento Geral da União.</w:t>
      </w:r>
    </w:p>
    <w:p w14:paraId="2ED339AC"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contratação será atendida pela seguinte dotação:</w:t>
      </w:r>
    </w:p>
    <w:p w14:paraId="78583780" w14:textId="77777777" w:rsidR="00D62F37" w:rsidRDefault="00114804">
      <w:pPr>
        <w:numPr>
          <w:ilvl w:val="0"/>
          <w:numId w:val="2"/>
        </w:numPr>
        <w:pBdr>
          <w:top w:val="nil"/>
          <w:left w:val="nil"/>
          <w:bottom w:val="nil"/>
          <w:right w:val="nil"/>
          <w:between w:val="nil"/>
        </w:pBdr>
        <w:spacing w:before="120" w:line="276" w:lineRule="auto"/>
        <w:ind w:left="284" w:firstLine="0"/>
        <w:jc w:val="both"/>
        <w:rPr>
          <w:rFonts w:ascii="Arial" w:eastAsia="Arial" w:hAnsi="Arial" w:cs="Arial"/>
          <w:color w:val="000000"/>
          <w:sz w:val="20"/>
          <w:szCs w:val="20"/>
        </w:rPr>
      </w:pPr>
      <w:r>
        <w:rPr>
          <w:rFonts w:ascii="Arial" w:eastAsia="Arial" w:hAnsi="Arial" w:cs="Arial"/>
          <w:color w:val="000000"/>
          <w:sz w:val="20"/>
          <w:szCs w:val="20"/>
        </w:rPr>
        <w:t>Gestã</w:t>
      </w:r>
      <w:r>
        <w:rPr>
          <w:rFonts w:ascii="Arial" w:eastAsia="Arial" w:hAnsi="Arial" w:cs="Arial"/>
          <w:sz w:val="20"/>
          <w:szCs w:val="20"/>
        </w:rPr>
        <w:t xml:space="preserve">o/Unidade: </w:t>
      </w:r>
      <w:r>
        <w:rPr>
          <w:rFonts w:ascii="Arial" w:eastAsia="Arial" w:hAnsi="Arial" w:cs="Arial"/>
          <w:sz w:val="20"/>
          <w:szCs w:val="20"/>
        </w:rPr>
        <w:t>26419</w:t>
      </w:r>
      <w:r>
        <w:rPr>
          <w:rFonts w:ascii="Arial" w:eastAsia="Arial" w:hAnsi="Arial" w:cs="Arial"/>
          <w:sz w:val="20"/>
          <w:szCs w:val="20"/>
        </w:rPr>
        <w:t>;</w:t>
      </w:r>
    </w:p>
    <w:p w14:paraId="6B56164B" w14:textId="77777777" w:rsidR="00D62F37" w:rsidRDefault="00114804">
      <w:pPr>
        <w:numPr>
          <w:ilvl w:val="0"/>
          <w:numId w:val="2"/>
        </w:numPr>
        <w:pBdr>
          <w:top w:val="nil"/>
          <w:left w:val="nil"/>
          <w:bottom w:val="nil"/>
          <w:right w:val="nil"/>
          <w:between w:val="nil"/>
        </w:pBdr>
        <w:spacing w:line="276" w:lineRule="auto"/>
        <w:ind w:left="284" w:firstLine="0"/>
        <w:jc w:val="both"/>
        <w:rPr>
          <w:rFonts w:ascii="Arial" w:eastAsia="Arial" w:hAnsi="Arial" w:cs="Arial"/>
          <w:sz w:val="20"/>
          <w:szCs w:val="20"/>
        </w:rPr>
      </w:pPr>
      <w:r>
        <w:rPr>
          <w:rFonts w:ascii="Arial" w:eastAsia="Arial" w:hAnsi="Arial" w:cs="Arial"/>
          <w:sz w:val="20"/>
          <w:szCs w:val="20"/>
        </w:rPr>
        <w:t xml:space="preserve">Fonte de Recursos: </w:t>
      </w:r>
      <w:r>
        <w:rPr>
          <w:rFonts w:ascii="Arial" w:eastAsia="Arial" w:hAnsi="Arial" w:cs="Arial"/>
          <w:sz w:val="20"/>
          <w:szCs w:val="20"/>
        </w:rPr>
        <w:t>1000000000</w:t>
      </w:r>
      <w:r>
        <w:rPr>
          <w:rFonts w:ascii="Arial" w:eastAsia="Arial" w:hAnsi="Arial" w:cs="Arial"/>
          <w:sz w:val="20"/>
          <w:szCs w:val="20"/>
        </w:rPr>
        <w:t>;</w:t>
      </w:r>
    </w:p>
    <w:p w14:paraId="60A2318E" w14:textId="77777777" w:rsidR="00D62F37" w:rsidRDefault="00114804">
      <w:pPr>
        <w:numPr>
          <w:ilvl w:val="0"/>
          <w:numId w:val="2"/>
        </w:numPr>
        <w:pBdr>
          <w:top w:val="nil"/>
          <w:left w:val="nil"/>
          <w:bottom w:val="nil"/>
          <w:right w:val="nil"/>
          <w:between w:val="nil"/>
        </w:pBdr>
        <w:spacing w:line="276" w:lineRule="auto"/>
        <w:ind w:left="284" w:firstLine="0"/>
        <w:jc w:val="both"/>
        <w:rPr>
          <w:rFonts w:ascii="Arial" w:eastAsia="Arial" w:hAnsi="Arial" w:cs="Arial"/>
          <w:sz w:val="20"/>
          <w:szCs w:val="20"/>
        </w:rPr>
      </w:pPr>
      <w:r>
        <w:rPr>
          <w:rFonts w:ascii="Arial" w:eastAsia="Arial" w:hAnsi="Arial" w:cs="Arial"/>
          <w:sz w:val="20"/>
          <w:szCs w:val="20"/>
        </w:rPr>
        <w:t xml:space="preserve">Programa de Trabalho: </w:t>
      </w:r>
      <w:r>
        <w:rPr>
          <w:rFonts w:ascii="Arial" w:eastAsia="Arial" w:hAnsi="Arial" w:cs="Arial"/>
          <w:sz w:val="20"/>
          <w:szCs w:val="20"/>
        </w:rPr>
        <w:t>231641</w:t>
      </w:r>
      <w:r>
        <w:rPr>
          <w:rFonts w:ascii="Arial" w:eastAsia="Arial" w:hAnsi="Arial" w:cs="Arial"/>
          <w:sz w:val="20"/>
          <w:szCs w:val="20"/>
        </w:rPr>
        <w:t>;</w:t>
      </w:r>
    </w:p>
    <w:p w14:paraId="49540D98" w14:textId="77777777" w:rsidR="00D62F37" w:rsidRDefault="00114804">
      <w:pPr>
        <w:numPr>
          <w:ilvl w:val="0"/>
          <w:numId w:val="2"/>
        </w:numPr>
        <w:pBdr>
          <w:top w:val="nil"/>
          <w:left w:val="nil"/>
          <w:bottom w:val="nil"/>
          <w:right w:val="nil"/>
          <w:between w:val="nil"/>
        </w:pBdr>
        <w:spacing w:line="276" w:lineRule="auto"/>
        <w:ind w:left="284" w:firstLine="0"/>
        <w:jc w:val="both"/>
        <w:rPr>
          <w:rFonts w:ascii="Arial" w:eastAsia="Arial" w:hAnsi="Arial" w:cs="Arial"/>
          <w:sz w:val="20"/>
          <w:szCs w:val="20"/>
        </w:rPr>
      </w:pPr>
      <w:r>
        <w:rPr>
          <w:rFonts w:ascii="Arial" w:eastAsia="Arial" w:hAnsi="Arial" w:cs="Arial"/>
          <w:sz w:val="20"/>
          <w:szCs w:val="20"/>
        </w:rPr>
        <w:t xml:space="preserve">Elemento de Despesa: </w:t>
      </w:r>
      <w:r>
        <w:rPr>
          <w:rFonts w:ascii="Arial" w:eastAsia="Arial" w:hAnsi="Arial" w:cs="Arial"/>
          <w:sz w:val="20"/>
          <w:szCs w:val="20"/>
        </w:rPr>
        <w:t>339040-13</w:t>
      </w:r>
      <w:r>
        <w:rPr>
          <w:rFonts w:ascii="Arial" w:eastAsia="Arial" w:hAnsi="Arial" w:cs="Arial"/>
          <w:sz w:val="20"/>
          <w:szCs w:val="20"/>
        </w:rPr>
        <w:t>;</w:t>
      </w:r>
    </w:p>
    <w:p w14:paraId="389A6779" w14:textId="77777777" w:rsidR="00D62F37" w:rsidRDefault="00114804">
      <w:pPr>
        <w:numPr>
          <w:ilvl w:val="0"/>
          <w:numId w:val="2"/>
        </w:numPr>
        <w:pBdr>
          <w:top w:val="nil"/>
          <w:left w:val="nil"/>
          <w:bottom w:val="nil"/>
          <w:right w:val="nil"/>
          <w:between w:val="nil"/>
        </w:pBdr>
        <w:spacing w:after="120" w:line="276" w:lineRule="auto"/>
        <w:ind w:left="284" w:firstLine="0"/>
        <w:jc w:val="both"/>
        <w:rPr>
          <w:rFonts w:ascii="Arial" w:eastAsia="Arial" w:hAnsi="Arial" w:cs="Arial"/>
          <w:sz w:val="20"/>
          <w:szCs w:val="20"/>
        </w:rPr>
      </w:pPr>
      <w:r>
        <w:rPr>
          <w:rFonts w:ascii="Arial" w:eastAsia="Arial" w:hAnsi="Arial" w:cs="Arial"/>
          <w:sz w:val="20"/>
          <w:szCs w:val="20"/>
        </w:rPr>
        <w:t xml:space="preserve">Plano Interno: </w:t>
      </w:r>
      <w:r>
        <w:rPr>
          <w:rFonts w:ascii="Arial" w:eastAsia="Arial" w:hAnsi="Arial" w:cs="Arial"/>
          <w:sz w:val="20"/>
          <w:szCs w:val="20"/>
        </w:rPr>
        <w:t>L20RLP0100I</w:t>
      </w:r>
      <w:r>
        <w:rPr>
          <w:rFonts w:ascii="Arial" w:eastAsia="Arial" w:hAnsi="Arial" w:cs="Arial"/>
          <w:sz w:val="20"/>
          <w:szCs w:val="20"/>
        </w:rPr>
        <w:t>;</w:t>
      </w:r>
    </w:p>
    <w:p w14:paraId="16804BF9" w14:textId="77777777" w:rsidR="00D62F37" w:rsidRDefault="00114804">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dotação relativa aos exercícios financeiros subsequentes será indicada após aprovação da Lei Orçamentária respectiva e liberação dos créditos correspondentes, mediante apostilamento.</w:t>
      </w:r>
    </w:p>
    <w:p w14:paraId="52EF6014" w14:textId="77777777" w:rsidR="00D62F37" w:rsidRDefault="00D62F37">
      <w:pPr>
        <w:keepNext/>
        <w:keepLines/>
        <w:pBdr>
          <w:top w:val="nil"/>
          <w:left w:val="nil"/>
          <w:bottom w:val="nil"/>
          <w:right w:val="nil"/>
          <w:between w:val="nil"/>
        </w:pBdr>
        <w:tabs>
          <w:tab w:val="left" w:pos="567"/>
        </w:tabs>
        <w:spacing w:before="240" w:after="120" w:line="276" w:lineRule="auto"/>
        <w:ind w:left="360" w:hanging="360"/>
        <w:jc w:val="both"/>
        <w:rPr>
          <w:rFonts w:ascii="Arial" w:eastAsia="Arial" w:hAnsi="Arial" w:cs="Arial"/>
          <w:b/>
          <w:strike/>
          <w:color w:val="000000"/>
          <w:sz w:val="20"/>
          <w:szCs w:val="20"/>
        </w:rPr>
      </w:pPr>
    </w:p>
    <w:p w14:paraId="4445CA30" w14:textId="77777777" w:rsidR="00D62F37" w:rsidRDefault="00D62F37">
      <w:pPr>
        <w:pBdr>
          <w:top w:val="nil"/>
          <w:left w:val="nil"/>
          <w:bottom w:val="nil"/>
          <w:right w:val="nil"/>
          <w:between w:val="nil"/>
        </w:pBdr>
        <w:tabs>
          <w:tab w:val="left" w:pos="555"/>
          <w:tab w:val="left" w:pos="840"/>
          <w:tab w:val="left" w:pos="1140"/>
          <w:tab w:val="left" w:pos="1395"/>
          <w:tab w:val="left" w:pos="1650"/>
          <w:tab w:val="left" w:pos="1965"/>
          <w:tab w:val="left" w:pos="2220"/>
          <w:tab w:val="left" w:pos="7336"/>
        </w:tabs>
        <w:spacing w:before="120" w:line="276" w:lineRule="auto"/>
        <w:jc w:val="both"/>
        <w:rPr>
          <w:rFonts w:ascii="Calibri" w:eastAsia="Calibri" w:hAnsi="Calibri" w:cs="Calibri"/>
          <w:color w:val="000000"/>
        </w:rPr>
      </w:pPr>
    </w:p>
    <w:p w14:paraId="446A74FF" w14:textId="77777777" w:rsidR="00D62F37" w:rsidRDefault="00114804">
      <w:pPr>
        <w:pBdr>
          <w:top w:val="nil"/>
          <w:left w:val="nil"/>
          <w:bottom w:val="nil"/>
          <w:right w:val="nil"/>
          <w:between w:val="nil"/>
        </w:pBdr>
        <w:tabs>
          <w:tab w:val="left" w:pos="555"/>
          <w:tab w:val="left" w:pos="840"/>
          <w:tab w:val="left" w:pos="1140"/>
          <w:tab w:val="left" w:pos="1395"/>
          <w:tab w:val="left" w:pos="1650"/>
          <w:tab w:val="left" w:pos="1965"/>
          <w:tab w:val="left" w:pos="2220"/>
          <w:tab w:val="left" w:pos="7336"/>
        </w:tabs>
        <w:spacing w:before="120" w:line="276" w:lineRule="auto"/>
        <w:jc w:val="both"/>
        <w:rPr>
          <w:rFonts w:ascii="Calibri" w:eastAsia="Calibri" w:hAnsi="Calibri" w:cs="Calibri"/>
          <w:color w:val="FF3333"/>
        </w:rPr>
      </w:pPr>
      <w:r>
        <w:rPr>
          <w:rFonts w:ascii="Calibri" w:eastAsia="Calibri" w:hAnsi="Calibri" w:cs="Calibri"/>
          <w:color w:val="000000"/>
        </w:rPr>
        <w:tab/>
      </w:r>
    </w:p>
    <w:tbl>
      <w:tblPr>
        <w:tblStyle w:val="a2"/>
        <w:tblW w:w="9625" w:type="dxa"/>
        <w:tblInd w:w="9" w:type="dxa"/>
        <w:tblLayout w:type="fixed"/>
        <w:tblLook w:val="0000" w:firstRow="0" w:lastRow="0" w:firstColumn="0" w:lastColumn="0" w:noHBand="0" w:noVBand="0"/>
      </w:tblPr>
      <w:tblGrid>
        <w:gridCol w:w="3188"/>
        <w:gridCol w:w="3337"/>
        <w:gridCol w:w="3100"/>
      </w:tblGrid>
      <w:tr w:rsidR="00D62F37" w14:paraId="042EFE8A" w14:textId="77777777">
        <w:tc>
          <w:tcPr>
            <w:tcW w:w="3188" w:type="dxa"/>
            <w:tcBorders>
              <w:top w:val="single" w:sz="8" w:space="0" w:color="000000"/>
              <w:left w:val="single" w:sz="8" w:space="0" w:color="000000"/>
              <w:bottom w:val="single" w:sz="8" w:space="0" w:color="000000"/>
            </w:tcBorders>
            <w:shd w:val="clear" w:color="auto" w:fill="auto"/>
            <w:tcMar>
              <w:top w:w="55" w:type="dxa"/>
              <w:left w:w="55" w:type="dxa"/>
              <w:bottom w:w="55" w:type="dxa"/>
              <w:right w:w="55" w:type="dxa"/>
            </w:tcMar>
            <w:vAlign w:val="center"/>
          </w:tcPr>
          <w:p w14:paraId="43172125" w14:textId="77777777" w:rsidR="00D62F37" w:rsidRDefault="00D62F37">
            <w:pPr>
              <w:widowControl w:val="0"/>
              <w:pBdr>
                <w:top w:val="nil"/>
                <w:left w:val="nil"/>
                <w:bottom w:val="nil"/>
                <w:right w:val="nil"/>
                <w:between w:val="nil"/>
              </w:pBdr>
              <w:jc w:val="center"/>
              <w:rPr>
                <w:rFonts w:ascii="Calibri" w:eastAsia="Calibri" w:hAnsi="Calibri" w:cs="Calibri"/>
                <w:b/>
                <w:color w:val="000000"/>
              </w:rPr>
            </w:pPr>
          </w:p>
          <w:p w14:paraId="695F5F5B" w14:textId="77777777" w:rsidR="00D62F37" w:rsidRDefault="00114804">
            <w:pPr>
              <w:widowControl w:val="0"/>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____________________</w:t>
            </w:r>
          </w:p>
          <w:p w14:paraId="0ADA1AE0" w14:textId="77777777" w:rsidR="00D62F37" w:rsidRDefault="00114804">
            <w:pPr>
              <w:widowControl w:val="0"/>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Integrante</w:t>
            </w:r>
          </w:p>
          <w:p w14:paraId="6C45BDAB" w14:textId="77777777" w:rsidR="00D62F37" w:rsidRDefault="00114804">
            <w:pPr>
              <w:widowControl w:val="0"/>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Requisitante</w:t>
            </w:r>
          </w:p>
          <w:p w14:paraId="4A8A2F19" w14:textId="77777777" w:rsidR="00D62F37" w:rsidRDefault="00114804">
            <w:pPr>
              <w:widowControl w:val="0"/>
              <w:tabs>
                <w:tab w:val="left" w:pos="498"/>
                <w:tab w:val="left" w:pos="783"/>
                <w:tab w:val="left" w:pos="1083"/>
                <w:tab w:val="left" w:pos="1338"/>
                <w:tab w:val="left" w:pos="1593"/>
                <w:tab w:val="left" w:pos="1908"/>
                <w:tab w:val="left" w:pos="2163"/>
                <w:tab w:val="left" w:pos="7279"/>
              </w:tabs>
              <w:spacing w:before="57"/>
              <w:ind w:left="-57"/>
              <w:jc w:val="center"/>
              <w:rPr>
                <w:rFonts w:ascii="Calibri" w:eastAsia="Calibri" w:hAnsi="Calibri" w:cs="Calibri"/>
                <w:i/>
                <w:sz w:val="22"/>
                <w:szCs w:val="22"/>
              </w:rPr>
            </w:pPr>
            <w:r>
              <w:rPr>
                <w:rFonts w:ascii="Calibri" w:eastAsia="Calibri" w:hAnsi="Calibri" w:cs="Calibri"/>
              </w:rPr>
              <w:t xml:space="preserve">Lucas </w:t>
            </w:r>
            <w:proofErr w:type="spellStart"/>
            <w:r>
              <w:rPr>
                <w:rFonts w:ascii="Calibri" w:eastAsia="Calibri" w:hAnsi="Calibri" w:cs="Calibri"/>
              </w:rPr>
              <w:t>Wohlmuth</w:t>
            </w:r>
            <w:proofErr w:type="spellEnd"/>
            <w:r>
              <w:rPr>
                <w:rFonts w:ascii="Calibri" w:eastAsia="Calibri" w:hAnsi="Calibri" w:cs="Calibri"/>
              </w:rPr>
              <w:t xml:space="preserve"> dos Santos</w:t>
            </w:r>
          </w:p>
          <w:p w14:paraId="323DB42A" w14:textId="77777777" w:rsidR="00D62F37" w:rsidRDefault="00114804">
            <w:pPr>
              <w:widowControl w:val="0"/>
              <w:tabs>
                <w:tab w:val="left" w:pos="555"/>
                <w:tab w:val="left" w:pos="840"/>
                <w:tab w:val="left" w:pos="1140"/>
                <w:tab w:val="left" w:pos="1395"/>
                <w:tab w:val="left" w:pos="1650"/>
                <w:tab w:val="left" w:pos="1965"/>
                <w:tab w:val="left" w:pos="2220"/>
                <w:tab w:val="left" w:pos="7336"/>
              </w:tabs>
              <w:jc w:val="center"/>
              <w:rPr>
                <w:rFonts w:ascii="Times New Roman" w:eastAsia="Times New Roman" w:hAnsi="Times New Roman" w:cs="Times New Roman"/>
              </w:rPr>
            </w:pPr>
            <w:r>
              <w:rPr>
                <w:rFonts w:ascii="Calibri" w:eastAsia="Calibri" w:hAnsi="Calibri" w:cs="Calibri"/>
              </w:rPr>
              <w:t>Matrícula/SIAPE: 2328168</w:t>
            </w:r>
          </w:p>
        </w:tc>
        <w:tc>
          <w:tcPr>
            <w:tcW w:w="3337" w:type="dxa"/>
            <w:tcBorders>
              <w:top w:val="single" w:sz="8" w:space="0" w:color="000000"/>
              <w:left w:val="single" w:sz="8" w:space="0" w:color="000000"/>
              <w:bottom w:val="single" w:sz="8" w:space="0" w:color="000000"/>
            </w:tcBorders>
            <w:shd w:val="clear" w:color="auto" w:fill="auto"/>
            <w:tcMar>
              <w:top w:w="55" w:type="dxa"/>
              <w:left w:w="55" w:type="dxa"/>
              <w:bottom w:w="55" w:type="dxa"/>
              <w:right w:w="55" w:type="dxa"/>
            </w:tcMar>
            <w:vAlign w:val="center"/>
          </w:tcPr>
          <w:p w14:paraId="0435802F" w14:textId="77777777" w:rsidR="00D62F37" w:rsidRDefault="00D62F37">
            <w:pPr>
              <w:widowControl w:val="0"/>
              <w:pBdr>
                <w:top w:val="nil"/>
                <w:left w:val="nil"/>
                <w:bottom w:val="nil"/>
                <w:right w:val="nil"/>
                <w:between w:val="nil"/>
              </w:pBdr>
              <w:jc w:val="center"/>
              <w:rPr>
                <w:rFonts w:ascii="Calibri" w:eastAsia="Calibri" w:hAnsi="Calibri" w:cs="Calibri"/>
                <w:b/>
                <w:color w:val="000000"/>
              </w:rPr>
            </w:pPr>
          </w:p>
          <w:p w14:paraId="13834526" w14:textId="77777777" w:rsidR="00D62F37" w:rsidRDefault="00114804">
            <w:pPr>
              <w:widowControl w:val="0"/>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____________________</w:t>
            </w:r>
          </w:p>
          <w:p w14:paraId="2E006D84" w14:textId="77777777" w:rsidR="00D62F37" w:rsidRDefault="00114804">
            <w:pPr>
              <w:widowControl w:val="0"/>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Integrante</w:t>
            </w:r>
          </w:p>
          <w:p w14:paraId="617628F5" w14:textId="77777777" w:rsidR="00D62F37" w:rsidRDefault="00114804">
            <w:pPr>
              <w:widowControl w:val="0"/>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Técnico</w:t>
            </w:r>
          </w:p>
          <w:p w14:paraId="0D0E2E33" w14:textId="77777777" w:rsidR="00D62F37" w:rsidRDefault="00114804">
            <w:pPr>
              <w:widowControl w:val="0"/>
              <w:tabs>
                <w:tab w:val="left" w:pos="555"/>
                <w:tab w:val="left" w:pos="840"/>
                <w:tab w:val="left" w:pos="1140"/>
                <w:tab w:val="left" w:pos="1395"/>
                <w:tab w:val="left" w:pos="1650"/>
                <w:tab w:val="left" w:pos="1965"/>
                <w:tab w:val="left" w:pos="2220"/>
                <w:tab w:val="left" w:pos="7336"/>
              </w:tabs>
              <w:spacing w:before="57"/>
              <w:jc w:val="center"/>
              <w:rPr>
                <w:rFonts w:ascii="Calibri" w:eastAsia="Calibri" w:hAnsi="Calibri" w:cs="Calibri"/>
                <w:i/>
                <w:sz w:val="22"/>
                <w:szCs w:val="22"/>
              </w:rPr>
            </w:pPr>
            <w:r>
              <w:rPr>
                <w:rFonts w:ascii="Calibri" w:eastAsia="Calibri" w:hAnsi="Calibri" w:cs="Calibri"/>
              </w:rPr>
              <w:t xml:space="preserve">Andressa </w:t>
            </w:r>
            <w:proofErr w:type="spellStart"/>
            <w:r>
              <w:rPr>
                <w:rFonts w:ascii="Calibri" w:eastAsia="Calibri" w:hAnsi="Calibri" w:cs="Calibri"/>
              </w:rPr>
              <w:t>Fouchy</w:t>
            </w:r>
            <w:proofErr w:type="spellEnd"/>
            <w:r>
              <w:rPr>
                <w:rFonts w:ascii="Calibri" w:eastAsia="Calibri" w:hAnsi="Calibri" w:cs="Calibri"/>
              </w:rPr>
              <w:t xml:space="preserve"> </w:t>
            </w:r>
            <w:proofErr w:type="spellStart"/>
            <w:r>
              <w:rPr>
                <w:rFonts w:ascii="Calibri" w:eastAsia="Calibri" w:hAnsi="Calibri" w:cs="Calibri"/>
              </w:rPr>
              <w:t>Schons</w:t>
            </w:r>
            <w:proofErr w:type="spellEnd"/>
          </w:p>
          <w:p w14:paraId="740F2348" w14:textId="77777777" w:rsidR="00D62F37" w:rsidRDefault="00114804">
            <w:pPr>
              <w:widowControl w:val="0"/>
              <w:tabs>
                <w:tab w:val="left" w:pos="555"/>
                <w:tab w:val="left" w:pos="840"/>
                <w:tab w:val="left" w:pos="1140"/>
                <w:tab w:val="left" w:pos="1395"/>
                <w:tab w:val="left" w:pos="1650"/>
                <w:tab w:val="left" w:pos="1965"/>
                <w:tab w:val="left" w:pos="2220"/>
                <w:tab w:val="left" w:pos="7336"/>
              </w:tabs>
              <w:spacing w:before="57"/>
              <w:jc w:val="center"/>
              <w:rPr>
                <w:rFonts w:ascii="Calibri" w:eastAsia="Calibri" w:hAnsi="Calibri" w:cs="Calibri"/>
                <w:i/>
                <w:color w:val="FF3333"/>
                <w:sz w:val="22"/>
                <w:szCs w:val="22"/>
              </w:rPr>
            </w:pPr>
            <w:r>
              <w:rPr>
                <w:rFonts w:ascii="Calibri" w:eastAsia="Calibri" w:hAnsi="Calibri" w:cs="Calibri"/>
              </w:rPr>
              <w:t>Matrícula/SIAPE: 347143</w:t>
            </w:r>
          </w:p>
        </w:tc>
        <w:tc>
          <w:tcPr>
            <w:tcW w:w="3100" w:type="dxa"/>
            <w:tcBorders>
              <w:top w:val="single" w:sz="8" w:space="0" w:color="000000"/>
              <w:left w:val="single" w:sz="8" w:space="0" w:color="000000"/>
              <w:bottom w:val="single" w:sz="8" w:space="0" w:color="000000"/>
              <w:right w:val="single" w:sz="8" w:space="0" w:color="000000"/>
            </w:tcBorders>
            <w:shd w:val="clear" w:color="auto" w:fill="auto"/>
            <w:tcMar>
              <w:top w:w="55" w:type="dxa"/>
              <w:left w:w="55" w:type="dxa"/>
              <w:bottom w:w="55" w:type="dxa"/>
              <w:right w:w="55" w:type="dxa"/>
            </w:tcMar>
            <w:vAlign w:val="center"/>
          </w:tcPr>
          <w:p w14:paraId="03C96950" w14:textId="77777777" w:rsidR="00D62F37" w:rsidRDefault="00D62F37">
            <w:pPr>
              <w:widowControl w:val="0"/>
              <w:pBdr>
                <w:top w:val="nil"/>
                <w:left w:val="nil"/>
                <w:bottom w:val="nil"/>
                <w:right w:val="nil"/>
                <w:between w:val="nil"/>
              </w:pBdr>
              <w:jc w:val="center"/>
              <w:rPr>
                <w:rFonts w:ascii="Calibri" w:eastAsia="Calibri" w:hAnsi="Calibri" w:cs="Calibri"/>
                <w:b/>
                <w:color w:val="000000"/>
              </w:rPr>
            </w:pPr>
          </w:p>
          <w:p w14:paraId="60D9C1C1" w14:textId="77777777" w:rsidR="00D62F37" w:rsidRDefault="00114804">
            <w:pPr>
              <w:widowControl w:val="0"/>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____________________</w:t>
            </w:r>
          </w:p>
          <w:p w14:paraId="1CEB02F3" w14:textId="77777777" w:rsidR="00D62F37" w:rsidRDefault="00114804">
            <w:pPr>
              <w:widowControl w:val="0"/>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Integrante</w:t>
            </w:r>
          </w:p>
          <w:p w14:paraId="7EDCE516" w14:textId="77777777" w:rsidR="00D62F37" w:rsidRDefault="00114804">
            <w:pPr>
              <w:widowControl w:val="0"/>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Administrativo</w:t>
            </w:r>
          </w:p>
          <w:p w14:paraId="7B4D81C3" w14:textId="77777777" w:rsidR="00D62F37" w:rsidRDefault="00114804">
            <w:pPr>
              <w:widowControl w:val="0"/>
              <w:pBdr>
                <w:top w:val="nil"/>
                <w:left w:val="nil"/>
                <w:bottom w:val="nil"/>
                <w:right w:val="nil"/>
                <w:between w:val="nil"/>
              </w:pBdr>
              <w:jc w:val="center"/>
              <w:rPr>
                <w:rFonts w:ascii="Calibri" w:eastAsia="Calibri" w:hAnsi="Calibri" w:cs="Calibri"/>
                <w:sz w:val="22"/>
                <w:szCs w:val="22"/>
              </w:rPr>
            </w:pPr>
            <w:r>
              <w:rPr>
                <w:rFonts w:ascii="Calibri" w:eastAsia="Calibri" w:hAnsi="Calibri" w:cs="Calibri"/>
                <w:sz w:val="22"/>
                <w:szCs w:val="22"/>
              </w:rPr>
              <w:t xml:space="preserve">Cristiane </w:t>
            </w:r>
            <w:proofErr w:type="spellStart"/>
            <w:r>
              <w:rPr>
                <w:rFonts w:ascii="Calibri" w:eastAsia="Calibri" w:hAnsi="Calibri" w:cs="Calibri"/>
                <w:sz w:val="22"/>
                <w:szCs w:val="22"/>
              </w:rPr>
              <w:t>Brauner</w:t>
            </w:r>
            <w:proofErr w:type="spellEnd"/>
          </w:p>
          <w:p w14:paraId="677810F2" w14:textId="77777777" w:rsidR="00D62F37" w:rsidRDefault="00114804">
            <w:pPr>
              <w:widowControl w:val="0"/>
              <w:tabs>
                <w:tab w:val="left" w:pos="555"/>
                <w:tab w:val="left" w:pos="840"/>
                <w:tab w:val="left" w:pos="1140"/>
                <w:tab w:val="left" w:pos="1395"/>
                <w:tab w:val="left" w:pos="1650"/>
                <w:tab w:val="left" w:pos="1965"/>
                <w:tab w:val="left" w:pos="2220"/>
                <w:tab w:val="left" w:pos="7336"/>
              </w:tabs>
              <w:spacing w:before="57"/>
              <w:jc w:val="center"/>
              <w:rPr>
                <w:rFonts w:ascii="Calibri" w:eastAsia="Calibri" w:hAnsi="Calibri" w:cs="Calibri"/>
                <w:sz w:val="22"/>
                <w:szCs w:val="22"/>
              </w:rPr>
            </w:pPr>
            <w:r>
              <w:rPr>
                <w:rFonts w:ascii="Calibri" w:eastAsia="Calibri" w:hAnsi="Calibri" w:cs="Calibri"/>
              </w:rPr>
              <w:t>Matrícula/SIAPE: 1982614</w:t>
            </w:r>
          </w:p>
        </w:tc>
      </w:tr>
    </w:tbl>
    <w:p w14:paraId="19E7B9D2" w14:textId="77777777" w:rsidR="00D62F37" w:rsidRDefault="00D62F37">
      <w:pPr>
        <w:pBdr>
          <w:top w:val="nil"/>
          <w:left w:val="nil"/>
          <w:bottom w:val="nil"/>
          <w:right w:val="nil"/>
          <w:between w:val="nil"/>
        </w:pBdr>
        <w:spacing w:after="140" w:line="276" w:lineRule="auto"/>
        <w:rPr>
          <w:rFonts w:ascii="Calibri" w:eastAsia="Calibri" w:hAnsi="Calibri" w:cs="Calibri"/>
          <w:color w:val="000000"/>
        </w:rPr>
      </w:pPr>
    </w:p>
    <w:p w14:paraId="69D05DEA" w14:textId="77777777" w:rsidR="00D62F37" w:rsidRDefault="00D62F37">
      <w:pPr>
        <w:pBdr>
          <w:top w:val="nil"/>
          <w:left w:val="nil"/>
          <w:bottom w:val="nil"/>
          <w:right w:val="nil"/>
          <w:between w:val="nil"/>
        </w:pBdr>
        <w:spacing w:after="140" w:line="276" w:lineRule="auto"/>
        <w:rPr>
          <w:rFonts w:ascii="Calibri" w:eastAsia="Calibri" w:hAnsi="Calibri" w:cs="Calibri"/>
          <w:color w:val="000000"/>
        </w:rPr>
      </w:pPr>
    </w:p>
    <w:tbl>
      <w:tblPr>
        <w:tblStyle w:val="a3"/>
        <w:tblW w:w="9650" w:type="dxa"/>
        <w:tblInd w:w="19" w:type="dxa"/>
        <w:tblLayout w:type="fixed"/>
        <w:tblLook w:val="0000" w:firstRow="0" w:lastRow="0" w:firstColumn="0" w:lastColumn="0" w:noHBand="0" w:noVBand="0"/>
      </w:tblPr>
      <w:tblGrid>
        <w:gridCol w:w="9650"/>
      </w:tblGrid>
      <w:tr w:rsidR="00D62F37" w14:paraId="69A982EB" w14:textId="77777777">
        <w:tc>
          <w:tcPr>
            <w:tcW w:w="9650" w:type="dxa"/>
            <w:tcBorders>
              <w:top w:val="single" w:sz="8" w:space="0" w:color="000000"/>
              <w:left w:val="single" w:sz="8" w:space="0" w:color="000000"/>
              <w:bottom w:val="single" w:sz="8" w:space="0" w:color="000000"/>
              <w:right w:val="single" w:sz="8" w:space="0" w:color="000000"/>
            </w:tcBorders>
            <w:shd w:val="clear" w:color="auto" w:fill="E8E8E8"/>
            <w:tcMar>
              <w:top w:w="28" w:type="dxa"/>
              <w:left w:w="28" w:type="dxa"/>
              <w:bottom w:w="28" w:type="dxa"/>
              <w:right w:w="28" w:type="dxa"/>
            </w:tcMar>
          </w:tcPr>
          <w:p w14:paraId="79AFD5C9" w14:textId="77777777" w:rsidR="00D62F37" w:rsidRDefault="00114804">
            <w:pPr>
              <w:widowControl w:val="0"/>
              <w:pBdr>
                <w:top w:val="nil"/>
                <w:left w:val="nil"/>
                <w:bottom w:val="nil"/>
                <w:right w:val="nil"/>
                <w:between w:val="nil"/>
              </w:pBdr>
              <w:spacing w:before="120" w:after="120"/>
              <w:jc w:val="center"/>
              <w:rPr>
                <w:rFonts w:ascii="Calibri" w:eastAsia="Calibri" w:hAnsi="Calibri" w:cs="Calibri"/>
                <w:b/>
                <w:color w:val="000000"/>
              </w:rPr>
            </w:pPr>
            <w:r>
              <w:rPr>
                <w:rFonts w:ascii="Calibri" w:eastAsia="Calibri" w:hAnsi="Calibri" w:cs="Calibri"/>
                <w:b/>
                <w:color w:val="000000"/>
              </w:rPr>
              <w:t>Autoridade Máxima da Área de TIC</w:t>
            </w:r>
          </w:p>
        </w:tc>
      </w:tr>
      <w:tr w:rsidR="00D62F37" w14:paraId="7E31C5C6" w14:textId="77777777">
        <w:tc>
          <w:tcPr>
            <w:tcW w:w="965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28" w:type="dxa"/>
              <w:right w:w="28" w:type="dxa"/>
            </w:tcMar>
          </w:tcPr>
          <w:p w14:paraId="271057CD" w14:textId="77777777" w:rsidR="00D62F37" w:rsidRDefault="00D62F37">
            <w:pPr>
              <w:widowControl w:val="0"/>
              <w:pBdr>
                <w:top w:val="nil"/>
                <w:left w:val="nil"/>
                <w:bottom w:val="nil"/>
                <w:right w:val="nil"/>
                <w:between w:val="nil"/>
              </w:pBdr>
              <w:jc w:val="center"/>
              <w:rPr>
                <w:rFonts w:ascii="Calibri" w:eastAsia="Calibri" w:hAnsi="Calibri" w:cs="Calibri"/>
                <w:color w:val="000000"/>
              </w:rPr>
            </w:pPr>
          </w:p>
          <w:p w14:paraId="39051290" w14:textId="77777777" w:rsidR="00D62F37" w:rsidRDefault="00114804">
            <w:pPr>
              <w:widowControl w:val="0"/>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____________________</w:t>
            </w:r>
          </w:p>
          <w:p w14:paraId="12A5F5E8" w14:textId="77777777" w:rsidR="00D62F37" w:rsidRDefault="00114804">
            <w:pPr>
              <w:widowControl w:val="0"/>
              <w:tabs>
                <w:tab w:val="left" w:pos="555"/>
                <w:tab w:val="left" w:pos="840"/>
                <w:tab w:val="left" w:pos="1140"/>
                <w:tab w:val="left" w:pos="1395"/>
                <w:tab w:val="left" w:pos="1650"/>
                <w:tab w:val="left" w:pos="1965"/>
                <w:tab w:val="left" w:pos="2220"/>
                <w:tab w:val="left" w:pos="7336"/>
              </w:tabs>
              <w:jc w:val="center"/>
              <w:rPr>
                <w:rFonts w:ascii="Calibri" w:eastAsia="Calibri" w:hAnsi="Calibri" w:cs="Calibri"/>
              </w:rPr>
            </w:pPr>
            <w:r>
              <w:rPr>
                <w:rFonts w:ascii="Calibri" w:eastAsia="Calibri" w:hAnsi="Calibri" w:cs="Calibri"/>
              </w:rPr>
              <w:t>Lucas de Andrade</w:t>
            </w:r>
          </w:p>
          <w:p w14:paraId="03D785B9" w14:textId="77777777" w:rsidR="00D62F37" w:rsidRDefault="00114804">
            <w:pPr>
              <w:widowControl w:val="0"/>
              <w:tabs>
                <w:tab w:val="left" w:pos="555"/>
                <w:tab w:val="left" w:pos="840"/>
                <w:tab w:val="left" w:pos="1140"/>
                <w:tab w:val="left" w:pos="1395"/>
                <w:tab w:val="left" w:pos="1650"/>
                <w:tab w:val="left" w:pos="1965"/>
                <w:tab w:val="left" w:pos="2220"/>
                <w:tab w:val="left" w:pos="7336"/>
              </w:tabs>
              <w:jc w:val="center"/>
              <w:rPr>
                <w:rFonts w:ascii="Calibri" w:eastAsia="Calibri" w:hAnsi="Calibri" w:cs="Calibri"/>
                <w:i/>
                <w:sz w:val="22"/>
                <w:szCs w:val="22"/>
              </w:rPr>
            </w:pPr>
            <w:r>
              <w:rPr>
                <w:rFonts w:ascii="Calibri" w:eastAsia="Calibri" w:hAnsi="Calibri" w:cs="Calibri"/>
              </w:rPr>
              <w:t>Matrícula/SIAPE: 2155228</w:t>
            </w:r>
          </w:p>
        </w:tc>
      </w:tr>
    </w:tbl>
    <w:p w14:paraId="567D2647" w14:textId="77777777" w:rsidR="00D62F37" w:rsidRDefault="00D62F37">
      <w:pPr>
        <w:pBdr>
          <w:top w:val="nil"/>
          <w:left w:val="nil"/>
          <w:bottom w:val="nil"/>
          <w:right w:val="nil"/>
          <w:between w:val="nil"/>
        </w:pBdr>
        <w:spacing w:after="140" w:line="276" w:lineRule="auto"/>
        <w:ind w:left="360"/>
        <w:jc w:val="center"/>
        <w:rPr>
          <w:rFonts w:ascii="Liberation Serif" w:eastAsia="Liberation Serif" w:hAnsi="Liberation Serif" w:cs="Liberation Serif"/>
          <w:color w:val="000000"/>
        </w:rPr>
      </w:pPr>
    </w:p>
    <w:p w14:paraId="1A325A9F" w14:textId="77777777" w:rsidR="00D62F37" w:rsidRDefault="00114804">
      <w:pPr>
        <w:pBdr>
          <w:top w:val="nil"/>
          <w:left w:val="nil"/>
          <w:bottom w:val="nil"/>
          <w:right w:val="nil"/>
          <w:between w:val="nil"/>
        </w:pBdr>
        <w:spacing w:after="140" w:line="276" w:lineRule="auto"/>
        <w:ind w:left="360"/>
        <w:jc w:val="right"/>
        <w:rPr>
          <w:rFonts w:ascii="Calibri" w:eastAsia="Calibri" w:hAnsi="Calibri" w:cs="Calibri"/>
        </w:rPr>
      </w:pPr>
      <w:r>
        <w:rPr>
          <w:rFonts w:ascii="Calibri" w:eastAsia="Calibri" w:hAnsi="Calibri" w:cs="Calibri"/>
        </w:rPr>
        <w:t>Ibirubá</w:t>
      </w:r>
      <w:r>
        <w:rPr>
          <w:rFonts w:ascii="Calibri" w:eastAsia="Calibri" w:hAnsi="Calibri" w:cs="Calibri"/>
        </w:rPr>
        <w:t xml:space="preserve">, </w:t>
      </w:r>
      <w:r>
        <w:rPr>
          <w:rFonts w:ascii="Calibri" w:eastAsia="Calibri" w:hAnsi="Calibri" w:cs="Calibri"/>
        </w:rPr>
        <w:t>28</w:t>
      </w:r>
      <w:r>
        <w:rPr>
          <w:rFonts w:ascii="Calibri" w:eastAsia="Calibri" w:hAnsi="Calibri" w:cs="Calibri"/>
        </w:rPr>
        <w:t xml:space="preserve"> de </w:t>
      </w:r>
      <w:r>
        <w:rPr>
          <w:rFonts w:ascii="Calibri" w:eastAsia="Calibri" w:hAnsi="Calibri" w:cs="Calibri"/>
        </w:rPr>
        <w:t>agosto</w:t>
      </w:r>
      <w:r>
        <w:rPr>
          <w:rFonts w:ascii="Calibri" w:eastAsia="Calibri" w:hAnsi="Calibri" w:cs="Calibri"/>
        </w:rPr>
        <w:t xml:space="preserve"> de </w:t>
      </w:r>
      <w:r>
        <w:rPr>
          <w:rFonts w:ascii="Calibri" w:eastAsia="Calibri" w:hAnsi="Calibri" w:cs="Calibri"/>
        </w:rPr>
        <w:t>2024</w:t>
      </w:r>
      <w:r>
        <w:rPr>
          <w:rFonts w:ascii="Calibri" w:eastAsia="Calibri" w:hAnsi="Calibri" w:cs="Calibri"/>
        </w:rPr>
        <w:t>.</w:t>
      </w:r>
    </w:p>
    <w:p w14:paraId="18CB3DA9" w14:textId="77777777" w:rsidR="00D62F37" w:rsidRDefault="00D62F37">
      <w:pPr>
        <w:pBdr>
          <w:top w:val="nil"/>
          <w:left w:val="nil"/>
          <w:bottom w:val="nil"/>
          <w:right w:val="nil"/>
          <w:between w:val="nil"/>
        </w:pBdr>
        <w:spacing w:after="140" w:line="276" w:lineRule="auto"/>
        <w:ind w:left="360"/>
        <w:jc w:val="right"/>
        <w:rPr>
          <w:rFonts w:ascii="Calibri" w:eastAsia="Calibri" w:hAnsi="Calibri" w:cs="Calibri"/>
        </w:rPr>
      </w:pPr>
    </w:p>
    <w:p w14:paraId="48094334" w14:textId="77777777" w:rsidR="00D62F37" w:rsidRDefault="00114804">
      <w:pPr>
        <w:pBdr>
          <w:top w:val="nil"/>
          <w:left w:val="nil"/>
          <w:bottom w:val="nil"/>
          <w:right w:val="nil"/>
          <w:between w:val="nil"/>
        </w:pBdr>
        <w:spacing w:after="140" w:line="276" w:lineRule="auto"/>
        <w:rPr>
          <w:rFonts w:ascii="Calibri" w:eastAsia="Calibri" w:hAnsi="Calibri" w:cs="Calibri"/>
          <w:color w:val="000000"/>
        </w:rPr>
      </w:pPr>
      <w:r>
        <w:rPr>
          <w:rFonts w:ascii="Calibri" w:eastAsia="Calibri" w:hAnsi="Calibri" w:cs="Calibri"/>
          <w:color w:val="000000"/>
        </w:rPr>
        <w:t>Aprovo,</w:t>
      </w:r>
    </w:p>
    <w:p w14:paraId="2663EE52" w14:textId="77777777" w:rsidR="00D62F37" w:rsidRDefault="00D62F37">
      <w:pPr>
        <w:pBdr>
          <w:top w:val="nil"/>
          <w:left w:val="nil"/>
          <w:bottom w:val="nil"/>
          <w:right w:val="nil"/>
          <w:between w:val="nil"/>
        </w:pBdr>
        <w:spacing w:line="276" w:lineRule="auto"/>
        <w:rPr>
          <w:rFonts w:ascii="Calibri" w:eastAsia="Calibri" w:hAnsi="Calibri" w:cs="Calibri"/>
          <w:color w:val="000000"/>
        </w:rPr>
      </w:pPr>
    </w:p>
    <w:tbl>
      <w:tblPr>
        <w:tblStyle w:val="a4"/>
        <w:tblW w:w="9650" w:type="dxa"/>
        <w:tblInd w:w="19" w:type="dxa"/>
        <w:tblLayout w:type="fixed"/>
        <w:tblLook w:val="0000" w:firstRow="0" w:lastRow="0" w:firstColumn="0" w:lastColumn="0" w:noHBand="0" w:noVBand="0"/>
      </w:tblPr>
      <w:tblGrid>
        <w:gridCol w:w="9650"/>
      </w:tblGrid>
      <w:tr w:rsidR="00D62F37" w14:paraId="27773745" w14:textId="77777777">
        <w:tc>
          <w:tcPr>
            <w:tcW w:w="9650" w:type="dxa"/>
            <w:tcBorders>
              <w:top w:val="single" w:sz="8" w:space="0" w:color="000000"/>
              <w:left w:val="single" w:sz="8" w:space="0" w:color="000000"/>
              <w:bottom w:val="single" w:sz="8" w:space="0" w:color="000000"/>
              <w:right w:val="single" w:sz="8" w:space="0" w:color="000000"/>
            </w:tcBorders>
            <w:shd w:val="clear" w:color="auto" w:fill="E8E8E8"/>
            <w:tcMar>
              <w:top w:w="28" w:type="dxa"/>
              <w:left w:w="28" w:type="dxa"/>
              <w:bottom w:w="28" w:type="dxa"/>
              <w:right w:w="28" w:type="dxa"/>
            </w:tcMar>
          </w:tcPr>
          <w:p w14:paraId="62BA7DC1" w14:textId="77777777" w:rsidR="00D62F37" w:rsidRDefault="00114804">
            <w:pPr>
              <w:widowControl w:val="0"/>
              <w:pBdr>
                <w:top w:val="nil"/>
                <w:left w:val="nil"/>
                <w:bottom w:val="nil"/>
                <w:right w:val="nil"/>
                <w:between w:val="nil"/>
              </w:pBdr>
              <w:spacing w:before="120" w:after="120"/>
              <w:jc w:val="center"/>
              <w:rPr>
                <w:rFonts w:ascii="Calibri" w:eastAsia="Calibri" w:hAnsi="Calibri" w:cs="Calibri"/>
                <w:b/>
                <w:color w:val="000000"/>
              </w:rPr>
            </w:pPr>
            <w:r>
              <w:rPr>
                <w:rFonts w:ascii="Calibri" w:eastAsia="Calibri" w:hAnsi="Calibri" w:cs="Calibri"/>
                <w:b/>
                <w:color w:val="000000"/>
              </w:rPr>
              <w:t>Autoridade Competente</w:t>
            </w:r>
          </w:p>
        </w:tc>
      </w:tr>
      <w:tr w:rsidR="00D62F37" w14:paraId="7DA6991B" w14:textId="77777777">
        <w:tc>
          <w:tcPr>
            <w:tcW w:w="965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28" w:type="dxa"/>
              <w:right w:w="28" w:type="dxa"/>
            </w:tcMar>
          </w:tcPr>
          <w:p w14:paraId="239029F6" w14:textId="77777777" w:rsidR="00D62F37" w:rsidRDefault="00D62F37">
            <w:pPr>
              <w:widowControl w:val="0"/>
              <w:pBdr>
                <w:top w:val="nil"/>
                <w:left w:val="nil"/>
                <w:bottom w:val="nil"/>
                <w:right w:val="nil"/>
                <w:between w:val="nil"/>
              </w:pBdr>
              <w:jc w:val="center"/>
              <w:rPr>
                <w:rFonts w:ascii="Calibri" w:eastAsia="Calibri" w:hAnsi="Calibri" w:cs="Calibri"/>
                <w:color w:val="000000"/>
              </w:rPr>
            </w:pPr>
          </w:p>
          <w:p w14:paraId="6CA67850" w14:textId="77777777" w:rsidR="00D62F37" w:rsidRDefault="00114804">
            <w:pPr>
              <w:widowControl w:val="0"/>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____________________</w:t>
            </w:r>
          </w:p>
          <w:p w14:paraId="49628CDF" w14:textId="77777777" w:rsidR="00D62F37" w:rsidRDefault="00114804">
            <w:pPr>
              <w:jc w:val="center"/>
              <w:rPr>
                <w:rFonts w:ascii="Calibri" w:eastAsia="Calibri" w:hAnsi="Calibri" w:cs="Calibri"/>
              </w:rPr>
            </w:pPr>
            <w:r>
              <w:rPr>
                <w:rFonts w:ascii="Calibri" w:eastAsia="Calibri" w:hAnsi="Calibri" w:cs="Calibri"/>
              </w:rPr>
              <w:t xml:space="preserve">Sandra Rejane </w:t>
            </w:r>
            <w:proofErr w:type="spellStart"/>
            <w:r>
              <w:rPr>
                <w:rFonts w:ascii="Calibri" w:eastAsia="Calibri" w:hAnsi="Calibri" w:cs="Calibri"/>
              </w:rPr>
              <w:t>Zorzo</w:t>
            </w:r>
            <w:proofErr w:type="spellEnd"/>
            <w:r>
              <w:rPr>
                <w:rFonts w:ascii="Calibri" w:eastAsia="Calibri" w:hAnsi="Calibri" w:cs="Calibri"/>
              </w:rPr>
              <w:t xml:space="preserve"> </w:t>
            </w:r>
            <w:proofErr w:type="spellStart"/>
            <w:r>
              <w:rPr>
                <w:rFonts w:ascii="Calibri" w:eastAsia="Calibri" w:hAnsi="Calibri" w:cs="Calibri"/>
              </w:rPr>
              <w:t>Peringer</w:t>
            </w:r>
            <w:proofErr w:type="spellEnd"/>
          </w:p>
          <w:p w14:paraId="64C331EF" w14:textId="77777777" w:rsidR="00D62F37" w:rsidRDefault="00114804">
            <w:pPr>
              <w:jc w:val="center"/>
              <w:rPr>
                <w:rFonts w:ascii="Calibri" w:eastAsia="Calibri" w:hAnsi="Calibri" w:cs="Calibri"/>
              </w:rPr>
            </w:pPr>
            <w:r>
              <w:rPr>
                <w:rFonts w:ascii="Calibri" w:eastAsia="Calibri" w:hAnsi="Calibri" w:cs="Calibri"/>
              </w:rPr>
              <w:t>Diretora Geral e Ordenadora de Despesas</w:t>
            </w:r>
          </w:p>
          <w:p w14:paraId="2F5F7F62" w14:textId="77777777" w:rsidR="00D62F37" w:rsidRDefault="00114804">
            <w:pPr>
              <w:jc w:val="center"/>
              <w:rPr>
                <w:rFonts w:ascii="Calibri" w:eastAsia="Calibri" w:hAnsi="Calibri" w:cs="Calibri"/>
                <w:i/>
                <w:color w:val="FF3333"/>
              </w:rPr>
            </w:pPr>
            <w:r>
              <w:rPr>
                <w:rFonts w:ascii="Calibri" w:eastAsia="Calibri" w:hAnsi="Calibri" w:cs="Calibri"/>
              </w:rPr>
              <w:t>Portaria nº 138, de 23 de fevereiro de 2024</w:t>
            </w:r>
          </w:p>
        </w:tc>
      </w:tr>
    </w:tbl>
    <w:p w14:paraId="7B4C9E16" w14:textId="77777777" w:rsidR="00D62F37" w:rsidRDefault="00D62F37">
      <w:pPr>
        <w:pBdr>
          <w:top w:val="nil"/>
          <w:left w:val="nil"/>
          <w:bottom w:val="nil"/>
          <w:right w:val="nil"/>
          <w:between w:val="nil"/>
        </w:pBdr>
        <w:spacing w:before="120" w:after="120" w:line="276" w:lineRule="auto"/>
        <w:jc w:val="both"/>
      </w:pPr>
    </w:p>
    <w:sectPr w:rsidR="00D62F37">
      <w:headerReference w:type="default" r:id="rId46"/>
      <w:footerReference w:type="default" r:id="rId47"/>
      <w:pgSz w:w="11906" w:h="16838"/>
      <w:pgMar w:top="1418" w:right="1134" w:bottom="1418"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D57B5" w14:textId="77777777" w:rsidR="00000000" w:rsidRDefault="00114804">
      <w:r>
        <w:separator/>
      </w:r>
    </w:p>
  </w:endnote>
  <w:endnote w:type="continuationSeparator" w:id="0">
    <w:p w14:paraId="60B58464" w14:textId="77777777" w:rsidR="00000000" w:rsidRDefault="00114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BEB57" w14:textId="77777777" w:rsidR="00D62F37" w:rsidRDefault="00114804">
    <w:pPr>
      <w:pBdr>
        <w:top w:val="nil"/>
        <w:left w:val="nil"/>
        <w:bottom w:val="nil"/>
        <w:right w:val="nil"/>
        <w:between w:val="nil"/>
      </w:pBdr>
      <w:tabs>
        <w:tab w:val="center" w:pos="4252"/>
        <w:tab w:val="right" w:pos="8504"/>
      </w:tabs>
      <w:rPr>
        <w:rFonts w:ascii="Arial" w:eastAsia="Arial" w:hAnsi="Arial" w:cs="Arial"/>
        <w:color w:val="000000"/>
        <w:sz w:val="14"/>
        <w:szCs w:val="14"/>
      </w:rPr>
    </w:pPr>
    <w:r>
      <w:rPr>
        <w:rFonts w:ascii="Arial" w:eastAsia="Arial" w:hAnsi="Arial" w:cs="Arial"/>
        <w:color w:val="000000"/>
        <w:sz w:val="14"/>
        <w:szCs w:val="14"/>
      </w:rPr>
      <w:br/>
    </w:r>
    <w:r>
      <w:rPr>
        <w:rFonts w:ascii="Arial" w:eastAsia="Arial" w:hAnsi="Arial" w:cs="Arial"/>
        <w:color w:val="000000"/>
        <w:sz w:val="14"/>
        <w:szCs w:val="14"/>
      </w:rPr>
      <w:t>Câmara Nacional de Modelos de Licitações e Contratos da Consultoria-Geral da União - CNMLC</w:t>
    </w:r>
  </w:p>
  <w:p w14:paraId="68005D6B" w14:textId="77777777" w:rsidR="00D62F37" w:rsidRDefault="00114804">
    <w:pPr>
      <w:pBdr>
        <w:top w:val="nil"/>
        <w:left w:val="nil"/>
        <w:bottom w:val="nil"/>
        <w:right w:val="nil"/>
        <w:between w:val="nil"/>
      </w:pBdr>
      <w:tabs>
        <w:tab w:val="center" w:pos="4252"/>
        <w:tab w:val="right" w:pos="8504"/>
      </w:tabs>
      <w:rPr>
        <w:rFonts w:ascii="Arial" w:eastAsia="Arial" w:hAnsi="Arial" w:cs="Arial"/>
        <w:color w:val="000000"/>
        <w:sz w:val="14"/>
        <w:szCs w:val="14"/>
      </w:rPr>
    </w:pPr>
    <w:r>
      <w:rPr>
        <w:rFonts w:ascii="Arial" w:eastAsia="Arial" w:hAnsi="Arial" w:cs="Arial"/>
        <w:color w:val="000000"/>
        <w:sz w:val="14"/>
        <w:szCs w:val="14"/>
      </w:rPr>
      <w:t>Atualização: maio/2023</w:t>
    </w:r>
  </w:p>
  <w:p w14:paraId="710CB29A" w14:textId="77777777" w:rsidR="00D62F37" w:rsidRDefault="00114804">
    <w:pPr>
      <w:pBdr>
        <w:top w:val="nil"/>
        <w:left w:val="nil"/>
        <w:bottom w:val="nil"/>
        <w:right w:val="nil"/>
        <w:between w:val="nil"/>
      </w:pBdr>
      <w:tabs>
        <w:tab w:val="center" w:pos="4252"/>
        <w:tab w:val="right" w:pos="8504"/>
      </w:tabs>
      <w:rPr>
        <w:rFonts w:ascii="Arial" w:eastAsia="Arial" w:hAnsi="Arial" w:cs="Arial"/>
        <w:color w:val="222A35"/>
        <w:sz w:val="14"/>
        <w:szCs w:val="14"/>
      </w:rPr>
    </w:pPr>
    <w:r>
      <w:rPr>
        <w:rFonts w:ascii="Arial" w:eastAsia="Arial" w:hAnsi="Arial" w:cs="Arial"/>
        <w:color w:val="000000"/>
        <w:sz w:val="14"/>
        <w:szCs w:val="14"/>
      </w:rPr>
      <w:t>Termo de Referência contratação de Serviços TIC - Licitação</w:t>
    </w:r>
    <w:r>
      <w:rPr>
        <w:rFonts w:ascii="Arial" w:eastAsia="Arial" w:hAnsi="Arial" w:cs="Arial"/>
        <w:color w:val="000000"/>
        <w:sz w:val="14"/>
        <w:szCs w:val="14"/>
      </w:rPr>
      <w:tab/>
    </w:r>
    <w:r>
      <w:rPr>
        <w:rFonts w:ascii="Arial" w:eastAsia="Arial" w:hAnsi="Arial" w:cs="Arial"/>
        <w:color w:val="000000"/>
        <w:sz w:val="14"/>
        <w:szCs w:val="14"/>
      </w:rPr>
      <w:tab/>
    </w:r>
  </w:p>
  <w:p w14:paraId="0F2CAAE5" w14:textId="77777777" w:rsidR="00D62F37" w:rsidRDefault="00114804">
    <w:pPr>
      <w:pBdr>
        <w:top w:val="nil"/>
        <w:left w:val="nil"/>
        <w:bottom w:val="nil"/>
        <w:right w:val="nil"/>
        <w:between w:val="nil"/>
      </w:pBdr>
      <w:tabs>
        <w:tab w:val="center" w:pos="4252"/>
        <w:tab w:val="right" w:pos="8504"/>
      </w:tabs>
      <w:rPr>
        <w:rFonts w:ascii="Arial" w:eastAsia="Arial" w:hAnsi="Arial" w:cs="Arial"/>
        <w:color w:val="000000"/>
        <w:sz w:val="14"/>
        <w:szCs w:val="14"/>
      </w:rPr>
    </w:pPr>
    <w:r>
      <w:rPr>
        <w:rFonts w:ascii="Arial" w:eastAsia="Arial" w:hAnsi="Arial" w:cs="Arial"/>
        <w:color w:val="000000"/>
        <w:sz w:val="14"/>
        <w:szCs w:val="14"/>
      </w:rPr>
      <w:t>Elaborado pela Secretaria de Gestão. Complementado e Uniformizado pela CNMLC</w:t>
    </w:r>
  </w:p>
  <w:p w14:paraId="3FA4CADD" w14:textId="77777777" w:rsidR="00D62F37" w:rsidRDefault="00114804">
    <w:pPr>
      <w:pBdr>
        <w:top w:val="nil"/>
        <w:left w:val="nil"/>
        <w:bottom w:val="nil"/>
        <w:right w:val="nil"/>
        <w:between w:val="nil"/>
      </w:pBdr>
      <w:tabs>
        <w:tab w:val="center" w:pos="4252"/>
        <w:tab w:val="right" w:pos="8504"/>
      </w:tabs>
      <w:rPr>
        <w:rFonts w:cs="Ecofont_Spranq_eco_Sans"/>
        <w:color w:val="000000"/>
      </w:rPr>
    </w:pPr>
    <w:r>
      <w:rPr>
        <w:rFonts w:ascii="Arial" w:eastAsia="Arial" w:hAnsi="Arial" w:cs="Arial"/>
        <w:color w:val="000000"/>
        <w:sz w:val="14"/>
        <w:szCs w:val="14"/>
      </w:rPr>
      <w:t>Ide</w:t>
    </w:r>
    <w:r>
      <w:rPr>
        <w:rFonts w:ascii="Arial" w:eastAsia="Arial" w:hAnsi="Arial" w:cs="Arial"/>
        <w:color w:val="000000"/>
        <w:sz w:val="14"/>
        <w:szCs w:val="14"/>
      </w:rPr>
      <w:t>ntidade visual pela Secretaria de Gestão</w:t>
    </w:r>
  </w:p>
  <w:p w14:paraId="3007588D" w14:textId="77777777" w:rsidR="00D62F37" w:rsidRDefault="00114804">
    <w:pPr>
      <w:pBdr>
        <w:top w:val="nil"/>
        <w:left w:val="nil"/>
        <w:bottom w:val="nil"/>
        <w:right w:val="nil"/>
        <w:between w:val="nil"/>
      </w:pBdr>
      <w:tabs>
        <w:tab w:val="center" w:pos="4252"/>
        <w:tab w:val="right" w:pos="8504"/>
        <w:tab w:val="left" w:pos="312"/>
      </w:tabs>
      <w:rPr>
        <w:rFonts w:cs="Ecofont_Spranq_eco_Sans"/>
        <w:color w:val="000000"/>
      </w:rPr>
    </w:pPr>
    <w:r>
      <w:rPr>
        <w:rFonts w:cs="Ecofont_Spranq_eco_Sans"/>
        <w:color w:val="7F7F7F"/>
        <w:sz w:val="22"/>
        <w:szCs w:val="22"/>
      </w:rPr>
      <w:tab/>
    </w:r>
    <w:r>
      <w:rPr>
        <w:rFonts w:cs="Ecofont_Spranq_eco_Sans"/>
        <w:color w:val="7F7F7F"/>
        <w:sz w:val="22"/>
        <w:szCs w:val="22"/>
      </w:rPr>
      <w:tab/>
    </w:r>
    <w:r>
      <w:rPr>
        <w:rFonts w:cs="Ecofont_Spranq_eco_Sans"/>
        <w:color w:val="7F7F7F"/>
        <w:sz w:val="22"/>
        <w:szCs w:val="22"/>
      </w:rPr>
      <w:tab/>
    </w:r>
    <w:r>
      <w:rPr>
        <w:rFonts w:cs="Ecofont_Spranq_eco_Sans"/>
        <w:color w:val="595959"/>
        <w:sz w:val="22"/>
        <w:szCs w:val="22"/>
      </w:rPr>
      <w:t xml:space="preserve">Página </w:t>
    </w:r>
    <w:r>
      <w:rPr>
        <w:rFonts w:cs="Ecofont_Spranq_eco_Sans"/>
        <w:color w:val="595959"/>
        <w:sz w:val="22"/>
        <w:szCs w:val="22"/>
      </w:rPr>
      <w:fldChar w:fldCharType="begin"/>
    </w:r>
    <w:r>
      <w:rPr>
        <w:rFonts w:cs="Ecofont_Spranq_eco_Sans"/>
        <w:color w:val="595959"/>
        <w:sz w:val="22"/>
        <w:szCs w:val="22"/>
      </w:rPr>
      <w:instrText>PAGE</w:instrText>
    </w:r>
    <w:r>
      <w:rPr>
        <w:rFonts w:cs="Ecofont_Spranq_eco_Sans"/>
        <w:color w:val="595959"/>
        <w:sz w:val="22"/>
        <w:szCs w:val="22"/>
      </w:rPr>
      <w:fldChar w:fldCharType="separate"/>
    </w:r>
    <w:r w:rsidR="002536FA">
      <w:rPr>
        <w:rFonts w:cs="Ecofont_Spranq_eco_Sans"/>
        <w:noProof/>
        <w:color w:val="595959"/>
        <w:sz w:val="22"/>
        <w:szCs w:val="22"/>
      </w:rPr>
      <w:t>2</w:t>
    </w:r>
    <w:r>
      <w:rPr>
        <w:rFonts w:cs="Ecofont_Spranq_eco_Sans"/>
        <w:color w:val="595959"/>
        <w:sz w:val="22"/>
        <w:szCs w:val="22"/>
      </w:rPr>
      <w:fldChar w:fldCharType="end"/>
    </w:r>
    <w:r>
      <w:rPr>
        <w:rFonts w:cs="Ecofont_Spranq_eco_Sans"/>
        <w:color w:val="595959"/>
        <w:sz w:val="22"/>
        <w:szCs w:val="22"/>
      </w:rPr>
      <w:t xml:space="preserve"> | </w:t>
    </w:r>
    <w:r>
      <w:rPr>
        <w:rFonts w:cs="Ecofont_Spranq_eco_Sans"/>
        <w:color w:val="595959"/>
        <w:sz w:val="22"/>
        <w:szCs w:val="22"/>
      </w:rPr>
      <w:fldChar w:fldCharType="begin"/>
    </w:r>
    <w:r>
      <w:rPr>
        <w:rFonts w:cs="Ecofont_Spranq_eco_Sans"/>
        <w:color w:val="595959"/>
        <w:sz w:val="22"/>
        <w:szCs w:val="22"/>
      </w:rPr>
      <w:instrText>NUMPAGES</w:instrText>
    </w:r>
    <w:r>
      <w:rPr>
        <w:rFonts w:cs="Ecofont_Spranq_eco_Sans"/>
        <w:color w:val="595959"/>
        <w:sz w:val="22"/>
        <w:szCs w:val="22"/>
      </w:rPr>
      <w:fldChar w:fldCharType="separate"/>
    </w:r>
    <w:r w:rsidR="002536FA">
      <w:rPr>
        <w:rFonts w:cs="Ecofont_Spranq_eco_Sans"/>
        <w:noProof/>
        <w:color w:val="595959"/>
        <w:sz w:val="22"/>
        <w:szCs w:val="22"/>
      </w:rPr>
      <w:t>3</w:t>
    </w:r>
    <w:r>
      <w:rPr>
        <w:rFonts w:cs="Ecofont_Spranq_eco_Sans"/>
        <w:color w:val="595959"/>
        <w:sz w:val="22"/>
        <w:szCs w:val="22"/>
      </w:rPr>
      <w:fldChar w:fldCharType="end"/>
    </w:r>
  </w:p>
  <w:p w14:paraId="24DCF204" w14:textId="77777777" w:rsidR="00D62F37" w:rsidRDefault="00D62F37">
    <w:pPr>
      <w:pBdr>
        <w:top w:val="nil"/>
        <w:left w:val="nil"/>
        <w:bottom w:val="nil"/>
        <w:right w:val="nil"/>
        <w:between w:val="nil"/>
      </w:pBdr>
      <w:tabs>
        <w:tab w:val="center" w:pos="4252"/>
        <w:tab w:val="right" w:pos="8504"/>
      </w:tabs>
      <w:rPr>
        <w:rFonts w:cs="Ecofont_Spranq_eco_Sans"/>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9A6CE" w14:textId="77777777" w:rsidR="00000000" w:rsidRDefault="00114804">
      <w:r>
        <w:separator/>
      </w:r>
    </w:p>
  </w:footnote>
  <w:footnote w:type="continuationSeparator" w:id="0">
    <w:p w14:paraId="7552609E" w14:textId="77777777" w:rsidR="00000000" w:rsidRDefault="00114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AD2FD" w14:textId="77777777" w:rsidR="00D62F37" w:rsidRDefault="00114804">
    <w:pPr>
      <w:pBdr>
        <w:top w:val="nil"/>
        <w:left w:val="nil"/>
        <w:bottom w:val="nil"/>
        <w:right w:val="nil"/>
        <w:between w:val="nil"/>
      </w:pBdr>
      <w:tabs>
        <w:tab w:val="center" w:pos="4252"/>
        <w:tab w:val="right" w:pos="8504"/>
      </w:tabs>
      <w:jc w:val="right"/>
      <w:rPr>
        <w:rFonts w:ascii="Arial" w:eastAsia="Arial" w:hAnsi="Arial" w:cs="Arial"/>
        <w:color w:val="000000"/>
        <w:sz w:val="20"/>
        <w:szCs w:val="20"/>
      </w:rPr>
    </w:pPr>
    <w:r>
      <w:rPr>
        <w:rFonts w:ascii="Arial" w:eastAsia="Arial" w:hAnsi="Arial" w:cs="Arial"/>
        <w:color w:val="000000"/>
        <w:sz w:val="20"/>
        <w:szCs w:val="20"/>
      </w:rPr>
      <w:t>TERMO DE REFERÊNCIA - SERVIÇOS DE TIC - LICITAÇÃO</w:t>
    </w:r>
  </w:p>
  <w:p w14:paraId="5C8CEF1A" w14:textId="77777777" w:rsidR="00D62F37" w:rsidRDefault="00D62F37">
    <w:pPr>
      <w:pBdr>
        <w:top w:val="nil"/>
        <w:left w:val="nil"/>
        <w:bottom w:val="nil"/>
        <w:right w:val="nil"/>
        <w:between w:val="nil"/>
      </w:pBdr>
      <w:tabs>
        <w:tab w:val="center" w:pos="4252"/>
        <w:tab w:val="right" w:pos="8504"/>
      </w:tabs>
      <w:jc w:val="right"/>
      <w:rPr>
        <w:rFonts w:cs="Ecofont_Spranq_eco_Sans"/>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A23B5"/>
    <w:multiLevelType w:val="multilevel"/>
    <w:tmpl w:val="4156F7D2"/>
    <w:lvl w:ilvl="0">
      <w:start w:val="1"/>
      <w:numFmt w:val="upperRoman"/>
      <w:lvlText w:val="%1)"/>
      <w:lvlJc w:val="left"/>
      <w:pPr>
        <w:ind w:left="2136" w:hanging="72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1" w15:restartNumberingAfterBreak="0">
    <w:nsid w:val="2505620B"/>
    <w:multiLevelType w:val="multilevel"/>
    <w:tmpl w:val="0A407880"/>
    <w:lvl w:ilvl="0">
      <w:start w:val="1"/>
      <w:numFmt w:val="decimal"/>
      <w:lvlText w:val="%1."/>
      <w:lvlJc w:val="left"/>
      <w:pPr>
        <w:ind w:left="360" w:hanging="360"/>
      </w:pPr>
      <w:rPr>
        <w:b/>
        <w:color w:val="000000"/>
      </w:rPr>
    </w:lvl>
    <w:lvl w:ilvl="1">
      <w:start w:val="1"/>
      <w:numFmt w:val="decimal"/>
      <w:lvlText w:val="%1.%2."/>
      <w:lvlJc w:val="left"/>
      <w:pPr>
        <w:ind w:left="999" w:hanging="432"/>
      </w:pPr>
      <w:rPr>
        <w:b w:val="0"/>
        <w:i w:val="0"/>
        <w:strike w:val="0"/>
        <w:color w:val="000000"/>
        <w:sz w:val="20"/>
        <w:szCs w:val="20"/>
        <w:u w:val="none"/>
      </w:rPr>
    </w:lvl>
    <w:lvl w:ilvl="2">
      <w:start w:val="1"/>
      <w:numFmt w:val="decimal"/>
      <w:lvlText w:val="%1.%2.%3."/>
      <w:lvlJc w:val="left"/>
      <w:pPr>
        <w:ind w:left="1638" w:hanging="504"/>
      </w:pPr>
      <w:rPr>
        <w:rFonts w:ascii="Arial" w:eastAsia="Arial" w:hAnsi="Arial" w:cs="Arial"/>
        <w:b w:val="0"/>
        <w:i w:val="0"/>
        <w:strike w:val="0"/>
        <w:color w:val="000000"/>
        <w:sz w:val="20"/>
        <w:szCs w:val="20"/>
        <w:shd w:val="clear" w:color="auto" w:fill="auto"/>
      </w:rPr>
    </w:lvl>
    <w:lvl w:ilvl="3">
      <w:start w:val="1"/>
      <w:numFmt w:val="decimal"/>
      <w:lvlText w:val="%1.%2.%3.%4."/>
      <w:lvlJc w:val="left"/>
      <w:pPr>
        <w:ind w:left="2491" w:hanging="648"/>
      </w:pPr>
      <w:rPr>
        <w:rFonts w:ascii="Arial" w:eastAsia="Arial" w:hAnsi="Arial" w:cs="Arial"/>
        <w:b w:val="0"/>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15D4864"/>
    <w:multiLevelType w:val="multilevel"/>
    <w:tmpl w:val="AA3C43A2"/>
    <w:lvl w:ilvl="0">
      <w:start w:val="1"/>
      <w:numFmt w:val="decimal"/>
      <w:pStyle w:val="Nivel01"/>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C9378C1"/>
    <w:multiLevelType w:val="multilevel"/>
    <w:tmpl w:val="AFE472A0"/>
    <w:lvl w:ilvl="0">
      <w:start w:val="1"/>
      <w:numFmt w:val="upperRoman"/>
      <w:lvlText w:val="%1)"/>
      <w:lvlJc w:val="left"/>
      <w:pPr>
        <w:ind w:left="1512" w:hanging="360"/>
      </w:pPr>
    </w:lvl>
    <w:lvl w:ilvl="1">
      <w:start w:val="1"/>
      <w:numFmt w:val="lowerLetter"/>
      <w:lvlText w:val="%2."/>
      <w:lvlJc w:val="left"/>
      <w:pPr>
        <w:ind w:left="2232" w:hanging="360"/>
      </w:pPr>
    </w:lvl>
    <w:lvl w:ilvl="2">
      <w:start w:val="1"/>
      <w:numFmt w:val="lowerRoman"/>
      <w:lvlText w:val="%3."/>
      <w:lvlJc w:val="right"/>
      <w:pPr>
        <w:ind w:left="2952" w:hanging="180"/>
      </w:pPr>
    </w:lvl>
    <w:lvl w:ilvl="3">
      <w:start w:val="1"/>
      <w:numFmt w:val="decimal"/>
      <w:lvlText w:val="%4."/>
      <w:lvlJc w:val="left"/>
      <w:pPr>
        <w:ind w:left="3672" w:hanging="360"/>
      </w:pPr>
    </w:lvl>
    <w:lvl w:ilvl="4">
      <w:start w:val="1"/>
      <w:numFmt w:val="lowerLetter"/>
      <w:lvlText w:val="%5."/>
      <w:lvlJc w:val="left"/>
      <w:pPr>
        <w:ind w:left="4392" w:hanging="360"/>
      </w:pPr>
    </w:lvl>
    <w:lvl w:ilvl="5">
      <w:start w:val="1"/>
      <w:numFmt w:val="lowerRoman"/>
      <w:lvlText w:val="%6."/>
      <w:lvlJc w:val="right"/>
      <w:pPr>
        <w:ind w:left="5112" w:hanging="180"/>
      </w:pPr>
    </w:lvl>
    <w:lvl w:ilvl="6">
      <w:start w:val="1"/>
      <w:numFmt w:val="decimal"/>
      <w:lvlText w:val="%7."/>
      <w:lvlJc w:val="left"/>
      <w:pPr>
        <w:ind w:left="5832" w:hanging="360"/>
      </w:pPr>
    </w:lvl>
    <w:lvl w:ilvl="7">
      <w:start w:val="1"/>
      <w:numFmt w:val="lowerLetter"/>
      <w:lvlText w:val="%8."/>
      <w:lvlJc w:val="left"/>
      <w:pPr>
        <w:ind w:left="6552" w:hanging="360"/>
      </w:pPr>
    </w:lvl>
    <w:lvl w:ilvl="8">
      <w:start w:val="1"/>
      <w:numFmt w:val="lowerRoman"/>
      <w:lvlText w:val="%9."/>
      <w:lvlJc w:val="right"/>
      <w:pPr>
        <w:ind w:left="7272" w:hanging="180"/>
      </w:pPr>
    </w:lvl>
  </w:abstractNum>
  <w:num w:numId="1">
    <w:abstractNumId w:val="1"/>
  </w:num>
  <w:num w:numId="2">
    <w:abstractNumId w:val="0"/>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F37"/>
    <w:rsid w:val="00080331"/>
    <w:rsid w:val="00114804"/>
    <w:rsid w:val="002536FA"/>
    <w:rsid w:val="00D62F3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66799"/>
  <w15:docId w15:val="{5367AC28-2C3A-4EF7-978B-7EFE75605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3B31"/>
    <w:pPr>
      <w:suppressAutoHyphens/>
    </w:pPr>
    <w:rPr>
      <w:rFonts w:cs="Tahoma"/>
    </w:rPr>
  </w:style>
  <w:style w:type="paragraph" w:styleId="Ttulo1">
    <w:name w:val="heading 1"/>
    <w:basedOn w:val="Normal"/>
    <w:next w:val="Normal"/>
    <w:link w:val="Ttulo1Char1"/>
    <w:uiPriority w:val="9"/>
    <w:qFormat/>
    <w:pPr>
      <w:keepNext/>
      <w:keepLines/>
      <w:spacing w:before="480"/>
      <w:outlineLvl w:val="0"/>
    </w:pPr>
    <w:rPr>
      <w:rFonts w:ascii="Calibri" w:eastAsia="MS Gothic"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uiPriority w:val="9"/>
    <w:semiHidden/>
    <w:unhideWhenUsed/>
    <w:qFormat/>
    <w:pPr>
      <w:keepNext/>
      <w:keepLines/>
      <w:spacing w:before="40" w:line="256" w:lineRule="auto"/>
      <w:outlineLvl w:val="2"/>
    </w:pPr>
    <w:rPr>
      <w:rFonts w:ascii="Calibri" w:eastAsia="MS Gothic" w:hAnsi="Calibri" w:cs="Times New Roman"/>
      <w:color w:val="243F60"/>
      <w:lang w:eastAsia="en-US"/>
    </w:rPr>
  </w:style>
  <w:style w:type="paragraph" w:styleId="Ttulo4">
    <w:name w:val="heading 4"/>
    <w:basedOn w:val="Normal"/>
    <w:next w:val="Normal"/>
    <w:uiPriority w:val="9"/>
    <w:semiHidden/>
    <w:unhideWhenUsed/>
    <w:qFormat/>
    <w:pPr>
      <w:keepNext/>
      <w:keepLines/>
      <w:spacing w:before="40"/>
      <w:outlineLvl w:val="3"/>
    </w:pPr>
    <w:rPr>
      <w:rFonts w:ascii="Calibri" w:eastAsia="MS Gothic" w:hAnsi="Calibri" w:cs="Times New Roman"/>
      <w:i/>
      <w:iCs/>
      <w:color w:val="365F91"/>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40" w:line="256" w:lineRule="auto"/>
      <w:outlineLvl w:val="5"/>
    </w:pPr>
    <w:rPr>
      <w:rFonts w:ascii="Calibri" w:eastAsia="MS Gothic" w:hAnsi="Calibri" w:cs="Times New Roman"/>
      <w:color w:val="243F6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pBdr>
        <w:bottom w:val="single" w:sz="8" w:space="4" w:color="4F81BD"/>
      </w:pBdr>
      <w:spacing w:after="300"/>
      <w:contextualSpacing/>
    </w:pPr>
    <w:rPr>
      <w:rFonts w:ascii="Calibri" w:eastAsia="MS Gothic" w:hAnsi="Calibri" w:cs="Times New Roman"/>
      <w:color w:val="17365D"/>
      <w:spacing w:val="5"/>
      <w:kern w:val="3"/>
      <w:sz w:val="52"/>
      <w:szCs w:val="52"/>
    </w:rPr>
  </w:style>
  <w:style w:type="numbering" w:customStyle="1" w:styleId="WWOutlineListStyle">
    <w:name w:val="WW_OutlineListStyle"/>
    <w:basedOn w:val="Semlista"/>
  </w:style>
  <w:style w:type="paragraph" w:customStyle="1" w:styleId="Nivel01">
    <w:name w:val="Nivel 01"/>
    <w:basedOn w:val="Ttulo1"/>
    <w:next w:val="Normal"/>
    <w:link w:val="Nivel01Char1"/>
    <w:autoRedefine/>
    <w:qFormat/>
    <w:rsid w:val="00F237C4"/>
    <w:pPr>
      <w:numPr>
        <w:numId w:val="4"/>
      </w:numPr>
      <w:tabs>
        <w:tab w:val="left" w:pos="-709"/>
      </w:tabs>
      <w:spacing w:before="240" w:after="120" w:line="276" w:lineRule="auto"/>
      <w:jc w:val="both"/>
    </w:pPr>
    <w:rPr>
      <w:rFonts w:ascii="Arial" w:hAnsi="Arial" w:cs="Arial"/>
      <w:color w:val="auto"/>
      <w:sz w:val="20"/>
      <w:szCs w:val="20"/>
    </w:rPr>
  </w:style>
  <w:style w:type="paragraph" w:customStyle="1" w:styleId="Nvel1-SemNum">
    <w:name w:val="Nível 1-Sem Num"/>
    <w:basedOn w:val="Nivel01"/>
    <w:link w:val="Nvel1-SemNumChar1"/>
    <w:autoRedefine/>
    <w:qFormat/>
    <w:rsid w:val="00D065BA"/>
    <w:pPr>
      <w:numPr>
        <w:numId w:val="0"/>
      </w:numPr>
      <w:tabs>
        <w:tab w:val="left" w:pos="567"/>
      </w:tabs>
      <w:outlineLvl w:val="1"/>
    </w:pPr>
    <w:rPr>
      <w:color w:val="FF0000"/>
    </w:rPr>
  </w:style>
  <w:style w:type="paragraph" w:styleId="PargrafodaLista">
    <w:name w:val="List Paragraph"/>
    <w:basedOn w:val="Normal"/>
    <w:pPr>
      <w:ind w:left="720"/>
      <w:contextualSpacing/>
    </w:pPr>
  </w:style>
  <w:style w:type="paragraph" w:styleId="NormalWeb">
    <w:name w:val="Normal (Web)"/>
    <w:basedOn w:val="Normal"/>
    <w:uiPriority w:val="99"/>
    <w:pPr>
      <w:spacing w:before="100" w:after="100"/>
    </w:pPr>
    <w:rPr>
      <w:rFonts w:ascii="Times New Roman" w:hAnsi="Times New Roman" w:cs="Times New Roman"/>
    </w:rPr>
  </w:style>
  <w:style w:type="paragraph" w:styleId="Textodebalo">
    <w:name w:val="Balloon Text"/>
    <w:basedOn w:val="Normal"/>
    <w:rPr>
      <w:rFonts w:ascii="Tahoma" w:hAnsi="Tahoma"/>
      <w:sz w:val="16"/>
      <w:szCs w:val="16"/>
    </w:rPr>
  </w:style>
  <w:style w:type="character" w:customStyle="1" w:styleId="TextodebaloChar">
    <w:name w:val="Texto de balão Char"/>
    <w:rPr>
      <w:rFonts w:ascii="Tahoma" w:hAnsi="Tahoma" w:cs="Tahoma"/>
      <w:sz w:val="16"/>
      <w:szCs w:val="16"/>
    </w:rPr>
  </w:style>
  <w:style w:type="character" w:customStyle="1" w:styleId="Ttulo2Char">
    <w:name w:val="Título 2 Char"/>
    <w:rPr>
      <w:b/>
      <w:color w:val="000000"/>
      <w:sz w:val="24"/>
    </w:rPr>
  </w:style>
  <w:style w:type="paragraph" w:customStyle="1" w:styleId="Nvel2">
    <w:name w:val="Nível 2"/>
    <w:basedOn w:val="Normal"/>
    <w:next w:val="Normal"/>
    <w:pPr>
      <w:spacing w:after="120"/>
      <w:jc w:val="both"/>
    </w:pPr>
    <w:rPr>
      <w:rFonts w:ascii="Arial" w:hAnsi="Arial" w:cs="Times New Roman"/>
      <w:b/>
      <w:szCs w:val="20"/>
    </w:rPr>
  </w:style>
  <w:style w:type="character" w:customStyle="1" w:styleId="normalchar1">
    <w:name w:val="normal__char1"/>
    <w:rPr>
      <w:rFonts w:ascii="Arial" w:hAnsi="Arial" w:cs="Arial"/>
      <w:strike w:val="0"/>
      <w:dstrike w:val="0"/>
      <w:sz w:val="24"/>
      <w:szCs w:val="24"/>
      <w:u w:val="none"/>
    </w:rPr>
  </w:style>
  <w:style w:type="character" w:customStyle="1" w:styleId="apple-style-span">
    <w:name w:val="apple-style-span"/>
    <w:basedOn w:val="Fontepargpadro"/>
  </w:style>
  <w:style w:type="character" w:styleId="Hyperlink">
    <w:name w:val="Hyperlink"/>
    <w:rPr>
      <w:color w:val="000080"/>
      <w:u w:val="single"/>
    </w:rPr>
  </w:style>
  <w:style w:type="paragraph" w:styleId="Citao">
    <w:name w:val="Quote"/>
    <w:basedOn w:val="Normal"/>
    <w:next w:val="Normal"/>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rPr>
      <w:rFonts w:ascii="Arial" w:eastAsia="Calibri" w:hAnsi="Arial" w:cs="Tahoma"/>
      <w:i/>
      <w:iCs/>
      <w:color w:val="000000"/>
      <w:szCs w:val="24"/>
      <w:shd w:val="clear" w:color="auto" w:fill="FFFFCC"/>
    </w:rPr>
  </w:style>
  <w:style w:type="paragraph" w:styleId="Commarcadores5">
    <w:name w:val="List Bullet 5"/>
    <w:basedOn w:val="Normal"/>
    <w:pPr>
      <w:tabs>
        <w:tab w:val="num" w:pos="720"/>
      </w:tabs>
      <w:ind w:left="720" w:hanging="720"/>
      <w:contextualSpacing/>
    </w:pPr>
  </w:style>
  <w:style w:type="paragraph" w:customStyle="1" w:styleId="Notaexplicativa">
    <w:name w:val="Nota explicativa"/>
    <w:basedOn w:val="Citao"/>
    <w:rPr>
      <w:szCs w:val="20"/>
    </w:rPr>
  </w:style>
  <w:style w:type="character" w:customStyle="1" w:styleId="NotaexplicativaChar">
    <w:name w:val="Nota explicativa Char"/>
    <w:basedOn w:val="CitaoChar"/>
    <w:rPr>
      <w:rFonts w:ascii="Arial" w:eastAsia="Calibri" w:hAnsi="Arial" w:cs="Tahoma"/>
      <w:i/>
      <w:iCs/>
      <w:color w:val="000000"/>
      <w:szCs w:val="24"/>
      <w:shd w:val="clear" w:color="auto" w:fill="FFFFCC"/>
    </w:rPr>
  </w:style>
  <w:style w:type="paragraph" w:styleId="Cabealho">
    <w:name w:val="header"/>
    <w:basedOn w:val="Normal"/>
    <w:pPr>
      <w:tabs>
        <w:tab w:val="center" w:pos="4252"/>
        <w:tab w:val="right" w:pos="8504"/>
      </w:tabs>
    </w:pPr>
  </w:style>
  <w:style w:type="character" w:customStyle="1" w:styleId="CabealhoChar">
    <w:name w:val="Cabeçalho Char"/>
    <w:rPr>
      <w:rFonts w:ascii="Ecofont_Spranq_eco_Sans" w:hAnsi="Ecofont_Spranq_eco_Sans" w:cs="Tahoma"/>
      <w:sz w:val="24"/>
      <w:szCs w:val="24"/>
    </w:rPr>
  </w:style>
  <w:style w:type="paragraph" w:styleId="Rodap">
    <w:name w:val="footer"/>
    <w:basedOn w:val="Normal"/>
    <w:link w:val="RodapChar1"/>
    <w:uiPriority w:val="99"/>
    <w:pPr>
      <w:tabs>
        <w:tab w:val="center" w:pos="4252"/>
        <w:tab w:val="right" w:pos="8504"/>
      </w:tabs>
    </w:pPr>
  </w:style>
  <w:style w:type="character" w:customStyle="1" w:styleId="RodapChar">
    <w:name w:val="Rodapé Char"/>
    <w:rPr>
      <w:rFonts w:ascii="Ecofont_Spranq_eco_Sans" w:hAnsi="Ecofont_Spranq_eco_Sans" w:cs="Tahoma"/>
      <w:sz w:val="24"/>
      <w:szCs w:val="24"/>
    </w:rPr>
  </w:style>
  <w:style w:type="character" w:styleId="Refdecomentrio">
    <w:name w:val="annotation reference"/>
    <w:basedOn w:val="Fontepargpadro"/>
    <w:rPr>
      <w:sz w:val="16"/>
      <w:szCs w:val="16"/>
    </w:rPr>
  </w:style>
  <w:style w:type="paragraph" w:styleId="Textodecomentrio">
    <w:name w:val="annotation text"/>
    <w:basedOn w:val="Normal"/>
    <w:link w:val="TextodecomentrioChar1"/>
    <w:uiPriority w:val="99"/>
    <w:rPr>
      <w:sz w:val="20"/>
      <w:szCs w:val="20"/>
    </w:rPr>
  </w:style>
  <w:style w:type="character" w:customStyle="1" w:styleId="TextodecomentrioChar">
    <w:name w:val="Texto de comentário Char"/>
    <w:basedOn w:val="Fontepargpadro"/>
    <w:uiPriority w:val="99"/>
    <w:rPr>
      <w:rFonts w:ascii="Ecofont_Spranq_eco_Sans" w:hAnsi="Ecofont_Spranq_eco_Sans" w:cs="Tahoma"/>
      <w:lang w:eastAsia="pt-BR"/>
    </w:rPr>
  </w:style>
  <w:style w:type="paragraph" w:styleId="Assuntodocomentrio">
    <w:name w:val="annotation subject"/>
    <w:basedOn w:val="Textodecomentrio"/>
    <w:next w:val="Textodecomentrio"/>
    <w:rPr>
      <w:b/>
      <w:bCs/>
    </w:rPr>
  </w:style>
  <w:style w:type="character" w:customStyle="1" w:styleId="AssuntodocomentrioChar">
    <w:name w:val="Assunto do comentário Char"/>
    <w:basedOn w:val="TextodecomentrioChar"/>
    <w:rPr>
      <w:rFonts w:ascii="Ecofont_Spranq_eco_Sans" w:hAnsi="Ecofont_Spranq_eco_Sans" w:cs="Tahoma"/>
      <w:b/>
      <w:bCs/>
      <w:lang w:eastAsia="pt-BR"/>
    </w:rPr>
  </w:style>
  <w:style w:type="character" w:customStyle="1" w:styleId="Ttulo4Char">
    <w:name w:val="Título 4 Char"/>
    <w:basedOn w:val="Fontepargpadro"/>
    <w:rPr>
      <w:rFonts w:ascii="Calibri" w:eastAsia="MS Gothic" w:hAnsi="Calibri" w:cs="Times New Roman"/>
      <w:i/>
      <w:iCs/>
      <w:color w:val="365F91"/>
      <w:sz w:val="24"/>
      <w:szCs w:val="24"/>
      <w:lang w:eastAsia="pt-BR"/>
    </w:rPr>
  </w:style>
  <w:style w:type="paragraph" w:customStyle="1" w:styleId="Nivel01Titulo">
    <w:name w:val="Nivel_01_Titulo"/>
    <w:basedOn w:val="Nivel01"/>
    <w:pPr>
      <w:numPr>
        <w:numId w:val="0"/>
      </w:numPr>
      <w:jc w:val="left"/>
    </w:pPr>
    <w:rPr>
      <w:rFonts w:cs="Times New Roman"/>
      <w:color w:val="000000"/>
      <w:spacing w:val="5"/>
      <w:kern w:val="3"/>
      <w:sz w:val="52"/>
      <w:szCs w:val="52"/>
    </w:rPr>
  </w:style>
  <w:style w:type="character" w:customStyle="1" w:styleId="TtuloChar">
    <w:name w:val="Título Char"/>
    <w:basedOn w:val="Fontepargpadro"/>
    <w:rPr>
      <w:rFonts w:ascii="Calibri" w:eastAsia="MS Gothic" w:hAnsi="Calibri" w:cs="Times New Roman"/>
      <w:color w:val="17365D"/>
      <w:spacing w:val="5"/>
      <w:kern w:val="3"/>
      <w:sz w:val="52"/>
      <w:szCs w:val="52"/>
      <w:lang w:eastAsia="pt-BR"/>
    </w:rPr>
  </w:style>
  <w:style w:type="character" w:customStyle="1" w:styleId="Nivel01Char">
    <w:name w:val="Nivel 01 Char"/>
    <w:basedOn w:val="TtuloChar"/>
    <w:rPr>
      <w:rFonts w:ascii="Arial" w:eastAsia="MS Gothic" w:hAnsi="Arial" w:cs="Arial"/>
      <w:b/>
      <w:bCs/>
      <w:color w:val="17365D"/>
      <w:spacing w:val="5"/>
      <w:kern w:val="3"/>
      <w:sz w:val="52"/>
      <w:szCs w:val="52"/>
      <w:lang w:eastAsia="pt-BR"/>
    </w:rPr>
  </w:style>
  <w:style w:type="character" w:customStyle="1" w:styleId="Ttulo1Char">
    <w:name w:val="Título 1 Char"/>
    <w:basedOn w:val="Fontepargpadro"/>
    <w:rPr>
      <w:rFonts w:ascii="Calibri" w:eastAsia="MS Gothic" w:hAnsi="Calibri" w:cs="Times New Roman"/>
      <w:b/>
      <w:bCs/>
      <w:color w:val="365F91"/>
      <w:sz w:val="28"/>
      <w:szCs w:val="28"/>
      <w:lang w:eastAsia="pt-BR"/>
    </w:rPr>
  </w:style>
  <w:style w:type="character" w:customStyle="1" w:styleId="Nivel01TituloChar">
    <w:name w:val="Nivel_01_Titulo Char"/>
    <w:basedOn w:val="Nivel01Char"/>
    <w:rPr>
      <w:rFonts w:ascii="Arial" w:eastAsia="MS Gothic" w:hAnsi="Arial" w:cs="Times New Roman"/>
      <w:b/>
      <w:bCs/>
      <w:color w:val="000000"/>
      <w:spacing w:val="5"/>
      <w:kern w:val="3"/>
      <w:sz w:val="52"/>
      <w:szCs w:val="52"/>
      <w:lang w:eastAsia="pt-BR"/>
    </w:rPr>
  </w:style>
  <w:style w:type="paragraph" w:customStyle="1" w:styleId="PADRO">
    <w:name w:val="PADRÃO"/>
    <w:pPr>
      <w:keepNext/>
      <w:widowControl w:val="0"/>
      <w:shd w:val="clear" w:color="auto" w:fill="FFFFFF"/>
      <w:suppressAutoHyphens/>
      <w:spacing w:before="119" w:after="119" w:line="276" w:lineRule="auto"/>
      <w:ind w:firstLine="567"/>
      <w:jc w:val="both"/>
      <w:textAlignment w:val="baseline"/>
    </w:pPr>
    <w:rPr>
      <w:rFonts w:eastAsia="WenQuanYi Micro Hei" w:cs="Lohit Hindi"/>
      <w:lang w:eastAsia="zh-CN" w:bidi="hi-IN"/>
    </w:rPr>
  </w:style>
  <w:style w:type="character" w:customStyle="1" w:styleId="QuoteChar">
    <w:name w:val="Quote Char"/>
    <w:basedOn w:val="Fontepargpadro"/>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pPr>
      <w:spacing w:before="100" w:after="100"/>
    </w:pPr>
    <w:rPr>
      <w:rFonts w:ascii="Times New Roman" w:eastAsia="Times New Roman" w:hAnsi="Times New Roman" w:cs="Times New Roman"/>
    </w:rPr>
  </w:style>
  <w:style w:type="character" w:customStyle="1" w:styleId="normaltextrun">
    <w:name w:val="normaltextrun"/>
    <w:basedOn w:val="Fontepargpadro"/>
  </w:style>
  <w:style w:type="character" w:customStyle="1" w:styleId="eop">
    <w:name w:val="eop"/>
    <w:basedOn w:val="Fontepargpadro"/>
  </w:style>
  <w:style w:type="character" w:customStyle="1" w:styleId="spellingerror">
    <w:name w:val="spellingerror"/>
    <w:basedOn w:val="Fontepargpadro"/>
  </w:style>
  <w:style w:type="paragraph" w:styleId="Corpodetexto">
    <w:name w:val="Body Text"/>
    <w:basedOn w:val="Normal"/>
    <w:pPr>
      <w:spacing w:before="100" w:after="100"/>
    </w:pPr>
    <w:rPr>
      <w:rFonts w:ascii="Times New Roman" w:eastAsia="Times New Roman" w:hAnsi="Times New Roman" w:cs="Times New Roman"/>
    </w:rPr>
  </w:style>
  <w:style w:type="character" w:customStyle="1" w:styleId="CorpodetextoChar">
    <w:name w:val="Corpo de texto Char"/>
    <w:basedOn w:val="Fontepargpadro"/>
    <w:rPr>
      <w:rFonts w:eastAsia="Times New Roman"/>
      <w:sz w:val="24"/>
      <w:szCs w:val="24"/>
      <w:lang w:eastAsia="pt-BR"/>
    </w:rPr>
  </w:style>
  <w:style w:type="paragraph" w:customStyle="1" w:styleId="Nivel1">
    <w:name w:val="Nivel1"/>
    <w:basedOn w:val="Ttulo1"/>
    <w:pPr>
      <w:spacing w:line="276" w:lineRule="auto"/>
      <w:ind w:left="357" w:hanging="357"/>
      <w:jc w:val="both"/>
    </w:pPr>
    <w:rPr>
      <w:rFonts w:ascii="Arial" w:hAnsi="Arial" w:cs="Arial"/>
      <w:bCs w:val="0"/>
      <w:color w:val="000000"/>
    </w:rPr>
  </w:style>
  <w:style w:type="character" w:customStyle="1" w:styleId="Nivel1Char">
    <w:name w:val="Nivel1 Char"/>
    <w:basedOn w:val="Ttulo1Char"/>
    <w:rPr>
      <w:rFonts w:ascii="Arial" w:eastAsia="MS Gothic" w:hAnsi="Arial" w:cs="Arial"/>
      <w:b/>
      <w:bCs w:val="0"/>
      <w:color w:val="000000"/>
      <w:sz w:val="28"/>
      <w:szCs w:val="28"/>
      <w:lang w:eastAsia="pt-BR"/>
    </w:rPr>
  </w:style>
  <w:style w:type="paragraph" w:customStyle="1" w:styleId="PargrafodaLista1">
    <w:name w:val="Parágrafo da Lista1"/>
    <w:basedOn w:val="Normal"/>
    <w:pPr>
      <w:ind w:left="720"/>
    </w:pPr>
    <w:rPr>
      <w:rFonts w:eastAsia="Times New Roman" w:cs="Ecofont_Spranq_eco_Sans"/>
    </w:rPr>
  </w:style>
  <w:style w:type="paragraph" w:customStyle="1" w:styleId="Nivel2">
    <w:name w:val="Nivel 2"/>
    <w:basedOn w:val="Normal"/>
    <w:autoRedefine/>
    <w:qFormat/>
    <w:rsid w:val="00FE3FA5"/>
    <w:pPr>
      <w:numPr>
        <w:ilvl w:val="1"/>
        <w:numId w:val="4"/>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pPr>
      <w:ind w:left="360" w:hanging="360"/>
    </w:pPr>
    <w:rPr>
      <w:b/>
    </w:rPr>
  </w:style>
  <w:style w:type="paragraph" w:customStyle="1" w:styleId="Nivel3">
    <w:name w:val="Nivel 3"/>
    <w:basedOn w:val="Normal"/>
    <w:link w:val="Nivel3Char1"/>
    <w:autoRedefine/>
    <w:qFormat/>
    <w:rsid w:val="00F237C4"/>
    <w:pPr>
      <w:numPr>
        <w:ilvl w:val="2"/>
        <w:numId w:val="4"/>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1"/>
    <w:autoRedefine/>
    <w:qFormat/>
    <w:rsid w:val="00F237C4"/>
    <w:pPr>
      <w:numPr>
        <w:ilvl w:val="3"/>
      </w:numPr>
      <w:ind w:left="567" w:firstLine="0"/>
    </w:pPr>
    <w:rPr>
      <w:color w:val="auto"/>
    </w:rPr>
  </w:style>
  <w:style w:type="paragraph" w:customStyle="1" w:styleId="Nivel5">
    <w:name w:val="Nivel 5"/>
    <w:basedOn w:val="Nivel4"/>
    <w:autoRedefine/>
    <w:qFormat/>
    <w:rsid w:val="00F237C4"/>
    <w:pPr>
      <w:numPr>
        <w:ilvl w:val="4"/>
      </w:numPr>
      <w:ind w:left="851" w:firstLine="0"/>
    </w:pPr>
  </w:style>
  <w:style w:type="character" w:customStyle="1" w:styleId="Nivel4Char">
    <w:name w:val="Nivel 4 Char"/>
    <w:basedOn w:val="Fontepargpadro"/>
    <w:rPr>
      <w:rFonts w:ascii="Arial" w:hAnsi="Arial" w:cs="Arial"/>
      <w:lang w:eastAsia="pt-BR"/>
    </w:rPr>
  </w:style>
  <w:style w:type="paragraph" w:customStyle="1" w:styleId="textbody">
    <w:name w:val="textbody"/>
    <w:basedOn w:val="Normal"/>
    <w:pPr>
      <w:spacing w:before="100" w:after="100"/>
    </w:pPr>
    <w:rPr>
      <w:rFonts w:ascii="Times New Roman" w:eastAsia="Times New Roman" w:hAnsi="Times New Roman" w:cs="Times New Roman"/>
    </w:rPr>
  </w:style>
  <w:style w:type="paragraph" w:customStyle="1" w:styleId="em0020ementa">
    <w:name w:val="em_0020ementa"/>
    <w:basedOn w:val="Normal"/>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Pr>
      <w:rFonts w:ascii="Times New Roman" w:hAnsi="Times New Roman" w:cs="Times New Roman"/>
      <w:strike w:val="0"/>
      <w:dstrike w:val="0"/>
      <w:sz w:val="26"/>
      <w:szCs w:val="26"/>
      <w:u w:val="none"/>
    </w:rPr>
  </w:style>
  <w:style w:type="character" w:customStyle="1" w:styleId="em0020ementachar1">
    <w:name w:val="em_0020ementa__char1"/>
    <w:rPr>
      <w:rFonts w:ascii="Times New Roman" w:hAnsi="Times New Roman" w:cs="Times New Roman"/>
      <w:strike w:val="0"/>
      <w:dstrike w:val="0"/>
      <w:sz w:val="28"/>
      <w:szCs w:val="28"/>
      <w:u w:val="none"/>
    </w:rPr>
  </w:style>
  <w:style w:type="paragraph" w:styleId="Reviso">
    <w:name w:val="Revision"/>
    <w:pPr>
      <w:suppressAutoHyphens/>
    </w:pPr>
    <w:rPr>
      <w:rFonts w:eastAsia="Times New Roman" w:cs="Tahoma"/>
    </w:rPr>
  </w:style>
  <w:style w:type="character" w:styleId="Forte">
    <w:name w:val="Strong"/>
    <w:basedOn w:val="Fontepargpadro"/>
    <w:uiPriority w:val="22"/>
    <w:rPr>
      <w:b/>
      <w:bCs/>
    </w:rPr>
  </w:style>
  <w:style w:type="character" w:styleId="nfase">
    <w:name w:val="Emphasis"/>
    <w:basedOn w:val="Fontepargpadro"/>
    <w:rPr>
      <w:i/>
      <w:iCs/>
    </w:rPr>
  </w:style>
  <w:style w:type="character" w:customStyle="1" w:styleId="Manoel">
    <w:name w:val="Manoel"/>
    <w:rPr>
      <w:rFonts w:ascii="Arial" w:hAnsi="Arial" w:cs="Arial"/>
      <w:color w:val="7030A0"/>
      <w:sz w:val="20"/>
    </w:rPr>
  </w:style>
  <w:style w:type="character" w:customStyle="1" w:styleId="ListLabel12">
    <w:name w:val="ListLabel 12"/>
    <w:rPr>
      <w:b/>
    </w:rPr>
  </w:style>
  <w:style w:type="paragraph" w:customStyle="1" w:styleId="texto1">
    <w:name w:val="texto1"/>
    <w:basedOn w:val="Normal"/>
    <w:pPr>
      <w:spacing w:before="100" w:after="100"/>
    </w:pPr>
    <w:rPr>
      <w:rFonts w:ascii="Times New Roman" w:eastAsia="Times New Roman" w:hAnsi="Times New Roman" w:cs="Times New Roman"/>
    </w:rPr>
  </w:style>
  <w:style w:type="paragraph" w:customStyle="1" w:styleId="GradeColorida-nfase11">
    <w:name w:val="Grade Colorida - Ênfase 11"/>
    <w:basedOn w:val="Normal"/>
    <w:next w:val="Normal"/>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rPr>
      <w:rFonts w:ascii="Arial" w:eastAsia="Calibri" w:hAnsi="Arial"/>
      <w:i/>
      <w:iCs/>
      <w:color w:val="000000"/>
      <w:szCs w:val="24"/>
      <w:shd w:val="clear" w:color="auto" w:fill="FFFFCC"/>
    </w:rPr>
  </w:style>
  <w:style w:type="paragraph" w:customStyle="1" w:styleId="xwestern">
    <w:name w:val="x_western"/>
    <w:basedOn w:val="Normal"/>
    <w:pPr>
      <w:spacing w:before="100" w:after="100"/>
    </w:pPr>
    <w:rPr>
      <w:rFonts w:ascii="Times New Roman" w:eastAsia="Times New Roman" w:hAnsi="Times New Roman" w:cs="Times New Roman"/>
    </w:rPr>
  </w:style>
  <w:style w:type="paragraph" w:customStyle="1" w:styleId="TCU-Ac-item9-0">
    <w:name w:val="TCU - Ac - item 9 - §§_0"/>
    <w:basedOn w:val="Normal"/>
    <w:pPr>
      <w:ind w:firstLine="1134"/>
      <w:jc w:val="both"/>
    </w:pPr>
    <w:rPr>
      <w:rFonts w:ascii="Times New Roman" w:eastAsia="Times New Roman" w:hAnsi="Times New Roman" w:cs="Times New Roman"/>
      <w:szCs w:val="22"/>
      <w:lang w:eastAsia="en-US"/>
    </w:rPr>
  </w:style>
  <w:style w:type="paragraph" w:customStyle="1" w:styleId="Normal1">
    <w:name w:val="Normal_1"/>
    <w:pPr>
      <w:suppressAutoHyphens/>
    </w:pPr>
    <w:rPr>
      <w:rFonts w:eastAsia="Times New Roman"/>
      <w:szCs w:val="22"/>
    </w:rPr>
  </w:style>
  <w:style w:type="paragraph" w:customStyle="1" w:styleId="tcu-ac-item9-1linha">
    <w:name w:val="tcu_-__ac_-_item_9_-_1ª_linha"/>
    <w:basedOn w:val="Normal"/>
    <w:pPr>
      <w:spacing w:before="100" w:after="100"/>
    </w:pPr>
    <w:rPr>
      <w:rFonts w:ascii="Times New Roman" w:eastAsia="Times New Roman" w:hAnsi="Times New Roman" w:cs="Times New Roman"/>
    </w:rPr>
  </w:style>
  <w:style w:type="paragraph" w:customStyle="1" w:styleId="textojustificadorecuoprimeiralinha">
    <w:name w:val="texto_justificado_recuo_primeira_linha"/>
    <w:basedOn w:val="Normal"/>
    <w:pPr>
      <w:spacing w:before="100" w:after="100"/>
    </w:pPr>
    <w:rPr>
      <w:rFonts w:ascii="Times New Roman" w:eastAsia="Times New Roman" w:hAnsi="Times New Roman" w:cs="Times New Roman"/>
    </w:rPr>
  </w:style>
  <w:style w:type="character" w:customStyle="1" w:styleId="highlight">
    <w:name w:val="highlight"/>
    <w:basedOn w:val="Fontepargpadro"/>
  </w:style>
  <w:style w:type="paragraph" w:customStyle="1" w:styleId="textojustificado">
    <w:name w:val="texto_justificado"/>
    <w:basedOn w:val="Normal"/>
    <w:pPr>
      <w:spacing w:before="100" w:after="100"/>
    </w:pPr>
    <w:rPr>
      <w:rFonts w:ascii="Times New Roman" w:eastAsia="Times New Roman" w:hAnsi="Times New Roman" w:cs="Times New Roman"/>
    </w:rPr>
  </w:style>
  <w:style w:type="character" w:styleId="HiperlinkVisitado">
    <w:name w:val="FollowedHyperlink"/>
    <w:basedOn w:val="Fontepargpadro"/>
    <w:rPr>
      <w:color w:val="800080"/>
      <w:u w:val="single"/>
    </w:rPr>
  </w:style>
  <w:style w:type="character" w:customStyle="1" w:styleId="MenoPendente1">
    <w:name w:val="Menção Pendente1"/>
    <w:basedOn w:val="Fontepargpadro"/>
    <w:rPr>
      <w:color w:val="605E5C"/>
      <w:shd w:val="clear" w:color="auto" w:fill="E1DFDD"/>
    </w:rPr>
  </w:style>
  <w:style w:type="character" w:customStyle="1" w:styleId="MenoPendente2">
    <w:name w:val="Menção Pendente2"/>
    <w:basedOn w:val="Fontepargpadro"/>
    <w:rPr>
      <w:color w:val="605E5C"/>
      <w:shd w:val="clear" w:color="auto" w:fill="E1DFDD"/>
    </w:rPr>
  </w:style>
  <w:style w:type="character" w:customStyle="1" w:styleId="Nivel2Char">
    <w:name w:val="Nivel 2 Char"/>
    <w:basedOn w:val="Fontepargpadro"/>
    <w:rPr>
      <w:rFonts w:ascii="Arial" w:hAnsi="Arial" w:cs="Arial"/>
      <w:color w:val="000000"/>
      <w:lang w:eastAsia="pt-BR"/>
    </w:rPr>
  </w:style>
  <w:style w:type="paragraph" w:customStyle="1" w:styleId="Nvel2Opcional">
    <w:name w:val="Nível 2 Opcional"/>
    <w:basedOn w:val="Nivel2"/>
    <w:pPr>
      <w:ind w:left="432"/>
    </w:pPr>
    <w:rPr>
      <w:rFonts w:eastAsia="Times New Roman"/>
      <w:i/>
      <w:color w:val="FF0000"/>
    </w:rPr>
  </w:style>
  <w:style w:type="paragraph" w:customStyle="1" w:styleId="Nvel3Opcional">
    <w:name w:val="Nível 3 Opcional"/>
    <w:basedOn w:val="Nivel3"/>
    <w:pPr>
      <w:ind w:left="1072"/>
    </w:pPr>
    <w:rPr>
      <w:rFonts w:eastAsia="Times New Roman"/>
      <w:i/>
      <w:iCs/>
      <w:color w:val="FF0000"/>
    </w:rPr>
  </w:style>
  <w:style w:type="character" w:customStyle="1" w:styleId="Nvel2OpcionalChar">
    <w:name w:val="Nível 2 Opcional Char"/>
    <w:basedOn w:val="Fontepargpadro"/>
    <w:rPr>
      <w:rFonts w:ascii="Arial" w:eastAsia="Times New Roman" w:hAnsi="Arial" w:cs="Arial"/>
      <w:i/>
      <w:color w:val="FF0000"/>
      <w:lang w:eastAsia="pt-BR"/>
    </w:rPr>
  </w:style>
  <w:style w:type="character" w:customStyle="1" w:styleId="Nvel3OpcionalChar">
    <w:name w:val="Nível 3 Opcional Char"/>
    <w:basedOn w:val="Fontepargpadro"/>
    <w:rPr>
      <w:rFonts w:ascii="Arial" w:eastAsia="Times New Roman" w:hAnsi="Arial" w:cs="Arial"/>
      <w:i/>
      <w:iCs/>
      <w:color w:val="FF0000"/>
      <w:lang w:eastAsia="pt-BR"/>
    </w:rPr>
  </w:style>
  <w:style w:type="character" w:styleId="TextodoEspaoReservado">
    <w:name w:val="Placeholder Text"/>
    <w:basedOn w:val="Fontepargpadro"/>
    <w:rPr>
      <w:color w:val="808080"/>
    </w:rPr>
  </w:style>
  <w:style w:type="character" w:customStyle="1" w:styleId="PargrafodaListaChar">
    <w:name w:val="Parágrafo da Lista Char"/>
    <w:basedOn w:val="Fontepargpadro"/>
    <w:rPr>
      <w:rFonts w:ascii="Ecofont_Spranq_eco_Sans" w:hAnsi="Ecofont_Spranq_eco_Sans" w:cs="Tahoma"/>
      <w:sz w:val="24"/>
      <w:szCs w:val="24"/>
      <w:lang w:eastAsia="pt-BR"/>
    </w:rPr>
  </w:style>
  <w:style w:type="character" w:customStyle="1" w:styleId="Ttulo3Char">
    <w:name w:val="Título 3 Char"/>
    <w:basedOn w:val="Fontepargpadro"/>
    <w:rPr>
      <w:rFonts w:ascii="Calibri" w:eastAsia="MS Gothic" w:hAnsi="Calibri" w:cs="Times New Roman"/>
      <w:color w:val="243F60"/>
      <w:sz w:val="24"/>
      <w:szCs w:val="24"/>
    </w:rPr>
  </w:style>
  <w:style w:type="character" w:customStyle="1" w:styleId="Ttulo6Char">
    <w:name w:val="Título 6 Char"/>
    <w:basedOn w:val="Fontepargpadro"/>
    <w:rPr>
      <w:rFonts w:ascii="Calibri" w:eastAsia="MS Gothic" w:hAnsi="Calibri" w:cs="Times New Roman"/>
      <w:color w:val="243F60"/>
      <w:sz w:val="22"/>
      <w:szCs w:val="22"/>
    </w:rPr>
  </w:style>
  <w:style w:type="paragraph" w:customStyle="1" w:styleId="SombreamentoMdio1-nfase31">
    <w:name w:val="Sombreamento Médio 1 - Ênfase 31"/>
    <w:basedOn w:val="Normal"/>
    <w:next w:val="Normal"/>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pPr>
      <w:spacing w:before="100" w:after="100"/>
    </w:pPr>
    <w:rPr>
      <w:rFonts w:ascii="Times New Roman" w:eastAsia="Times New Roman" w:hAnsi="Times New Roman" w:cs="Times New Roman"/>
    </w:rPr>
  </w:style>
  <w:style w:type="paragraph" w:customStyle="1" w:styleId="itemnivel2">
    <w:name w:val="item_nivel2"/>
    <w:basedOn w:val="Normal"/>
    <w:pPr>
      <w:spacing w:before="100" w:after="100"/>
    </w:pPr>
    <w:rPr>
      <w:rFonts w:ascii="Times New Roman" w:eastAsia="Times New Roman" w:hAnsi="Times New Roman" w:cs="Times New Roman"/>
    </w:rPr>
  </w:style>
  <w:style w:type="paragraph" w:customStyle="1" w:styleId="itemnivel1">
    <w:name w:val="item_nivel1"/>
    <w:basedOn w:val="Normal"/>
    <w:pPr>
      <w:spacing w:before="100" w:after="100"/>
    </w:pPr>
    <w:rPr>
      <w:rFonts w:ascii="Times New Roman" w:eastAsia="Times New Roman" w:hAnsi="Times New Roman" w:cs="Times New Roman"/>
    </w:rPr>
  </w:style>
  <w:style w:type="paragraph" w:customStyle="1" w:styleId="itemalinealetra">
    <w:name w:val="item_alinea_letra"/>
    <w:basedOn w:val="Normal"/>
    <w:pPr>
      <w:spacing w:before="100" w:after="100"/>
    </w:pPr>
    <w:rPr>
      <w:rFonts w:ascii="Times New Roman" w:eastAsia="Times New Roman" w:hAnsi="Times New Roman" w:cs="Times New Roman"/>
    </w:rPr>
  </w:style>
  <w:style w:type="character" w:customStyle="1" w:styleId="markedcontent">
    <w:name w:val="markedcontent"/>
    <w:basedOn w:val="Fontepargpadro"/>
  </w:style>
  <w:style w:type="paragraph" w:customStyle="1" w:styleId="Standard">
    <w:name w:val="Standard"/>
    <w:pPr>
      <w:suppressAutoHyphens/>
    </w:pPr>
    <w:rPr>
      <w:rFonts w:ascii="Liberation Serif" w:eastAsia="NSimSun" w:hAnsi="Liberation Serif" w:cs="Lucida Sans"/>
      <w:kern w:val="3"/>
      <w:lang w:eastAsia="zh-CN" w:bidi="hi-IN"/>
    </w:rPr>
  </w:style>
  <w:style w:type="paragraph" w:customStyle="1" w:styleId="Textbody0">
    <w:name w:val="Text body"/>
    <w:basedOn w:val="Standard"/>
    <w:pPr>
      <w:spacing w:after="140" w:line="276" w:lineRule="auto"/>
    </w:pPr>
  </w:style>
  <w:style w:type="character" w:customStyle="1" w:styleId="MenoPendente3">
    <w:name w:val="Menção Pendente3"/>
    <w:basedOn w:val="Fontepargpadro"/>
    <w:rPr>
      <w:color w:val="605E5C"/>
      <w:shd w:val="clear" w:color="auto" w:fill="E1DFDD"/>
    </w:rPr>
  </w:style>
  <w:style w:type="character" w:customStyle="1" w:styleId="MenoPendente4">
    <w:name w:val="Menção Pendente4"/>
    <w:basedOn w:val="Fontepargpadro"/>
    <w:rPr>
      <w:color w:val="605E5C"/>
      <w:shd w:val="clear" w:color="auto" w:fill="E1DFDD"/>
    </w:rPr>
  </w:style>
  <w:style w:type="paragraph" w:customStyle="1" w:styleId="ou">
    <w:name w:val="ou"/>
    <w:basedOn w:val="PargrafodaLista"/>
    <w:autoRedefine/>
    <w:qFormat/>
    <w:rsid w:val="00FE3FA5"/>
    <w:pPr>
      <w:spacing w:before="120" w:after="288" w:line="312" w:lineRule="auto"/>
      <w:ind w:left="0"/>
      <w:contextualSpacing w:val="0"/>
      <w:jc w:val="center"/>
    </w:pPr>
    <w:rPr>
      <w:rFonts w:ascii="Arial" w:eastAsia="Cambria" w:hAnsi="Arial" w:cs="Arial"/>
      <w:b/>
      <w:bCs/>
      <w:color w:val="FF0000"/>
      <w:sz w:val="20"/>
      <w:szCs w:val="20"/>
      <w:u w:val="single"/>
    </w:rPr>
  </w:style>
  <w:style w:type="character" w:customStyle="1" w:styleId="ouChar">
    <w:name w:val="ou Char"/>
    <w:basedOn w:val="PargrafodaListaChar"/>
    <w:rPr>
      <w:rFonts w:ascii="Arial" w:eastAsia="Cambria" w:hAnsi="Arial" w:cs="Arial"/>
      <w:b/>
      <w:bCs/>
      <w:i/>
      <w:iCs/>
      <w:color w:val="FF0000"/>
      <w:sz w:val="24"/>
      <w:szCs w:val="24"/>
      <w:u w:val="single"/>
      <w:lang w:eastAsia="pt-BR"/>
    </w:rPr>
  </w:style>
  <w:style w:type="paragraph" w:customStyle="1" w:styleId="dou-paragraph">
    <w:name w:val="dou-paragraph"/>
    <w:basedOn w:val="Normal"/>
    <w:pPr>
      <w:spacing w:before="100" w:after="100"/>
    </w:pPr>
    <w:rPr>
      <w:rFonts w:ascii="Times New Roman" w:eastAsia="Times New Roman" w:hAnsi="Times New Roman" w:cs="Times New Roman"/>
    </w:rPr>
  </w:style>
  <w:style w:type="paragraph" w:customStyle="1" w:styleId="Nvel2-Red">
    <w:name w:val="Nível 2 -Red"/>
    <w:basedOn w:val="Nivel2"/>
    <w:autoRedefine/>
    <w:qFormat/>
    <w:rsid w:val="00582908"/>
    <w:rPr>
      <w:i/>
      <w:iCs/>
      <w:color w:val="FF0000"/>
    </w:rPr>
  </w:style>
  <w:style w:type="paragraph" w:customStyle="1" w:styleId="Nvel3-R">
    <w:name w:val="Nível 3-R"/>
    <w:basedOn w:val="Nivel3"/>
    <w:autoRedefine/>
    <w:qFormat/>
    <w:rsid w:val="003702E3"/>
    <w:rPr>
      <w:i/>
      <w:iCs/>
      <w:color w:val="FF0000"/>
    </w:rPr>
  </w:style>
  <w:style w:type="character" w:customStyle="1" w:styleId="Nvel2-RedChar">
    <w:name w:val="Nível 2 -Red Char"/>
    <w:basedOn w:val="Nivel2Char"/>
    <w:rPr>
      <w:rFonts w:ascii="Arial" w:hAnsi="Arial" w:cs="Arial"/>
      <w:i/>
      <w:iCs/>
      <w:color w:val="FF0000"/>
      <w:lang w:eastAsia="pt-BR"/>
    </w:rPr>
  </w:style>
  <w:style w:type="paragraph" w:customStyle="1" w:styleId="Nvel4-R">
    <w:name w:val="Nível 4-R"/>
    <w:basedOn w:val="Nivel4"/>
    <w:pPr>
      <w:numPr>
        <w:ilvl w:val="0"/>
        <w:numId w:val="0"/>
      </w:numPr>
      <w:tabs>
        <w:tab w:val="num" w:pos="2880"/>
      </w:tabs>
      <w:ind w:left="2880" w:hanging="720"/>
    </w:pPr>
    <w:rPr>
      <w:i/>
      <w:iCs/>
      <w:color w:val="FF0000"/>
    </w:rPr>
  </w:style>
  <w:style w:type="character" w:customStyle="1" w:styleId="Nivel3Char">
    <w:name w:val="Nivel 3 Char"/>
    <w:basedOn w:val="Fontepargpadro"/>
    <w:rPr>
      <w:rFonts w:ascii="Arial" w:hAnsi="Arial" w:cs="Arial"/>
      <w:color w:val="000000"/>
      <w:lang w:eastAsia="pt-BR"/>
    </w:rPr>
  </w:style>
  <w:style w:type="character" w:customStyle="1" w:styleId="Nvel3-RChar">
    <w:name w:val="Nível 3-R Char"/>
    <w:basedOn w:val="Nivel3Char"/>
    <w:rPr>
      <w:rFonts w:ascii="Arial" w:hAnsi="Arial" w:cs="Arial"/>
      <w:i/>
      <w:iCs/>
      <w:color w:val="FF0000"/>
      <w:lang w:eastAsia="pt-BR"/>
    </w:rPr>
  </w:style>
  <w:style w:type="character" w:customStyle="1" w:styleId="Nvel4-RChar">
    <w:name w:val="Nível 4-R Char"/>
    <w:basedOn w:val="Nivel4Char"/>
    <w:rPr>
      <w:rFonts w:ascii="Arial" w:hAnsi="Arial" w:cs="Arial"/>
      <w:i/>
      <w:iCs/>
      <w:color w:val="FF0000"/>
      <w:lang w:eastAsia="pt-BR"/>
    </w:rPr>
  </w:style>
  <w:style w:type="character" w:customStyle="1" w:styleId="LinkdaInternet">
    <w:name w:val="Link da Internet"/>
    <w:basedOn w:val="Fontepargpadro"/>
    <w:rPr>
      <w:color w:val="0000FF"/>
      <w:u w:val="single"/>
    </w:rPr>
  </w:style>
  <w:style w:type="character" w:customStyle="1" w:styleId="Nvel1-SemNumChar">
    <w:name w:val="Nível 1-Sem Num Char"/>
    <w:basedOn w:val="Nivel01Char"/>
    <w:rPr>
      <w:rFonts w:ascii="Arial" w:eastAsia="MS Gothic" w:hAnsi="Arial" w:cs="Arial"/>
      <w:b/>
      <w:bCs/>
      <w:color w:val="FF0000"/>
      <w:spacing w:val="5"/>
      <w:kern w:val="3"/>
      <w:sz w:val="52"/>
      <w:szCs w:val="52"/>
      <w:lang w:eastAsia="pt-BR"/>
    </w:rPr>
  </w:style>
  <w:style w:type="paragraph" w:customStyle="1" w:styleId="citao2">
    <w:name w:val="citação 2"/>
    <w:basedOn w:val="Citao"/>
    <w:pPr>
      <w:overflowPunct w:val="0"/>
    </w:pPr>
    <w:rPr>
      <w:szCs w:val="20"/>
    </w:rPr>
  </w:style>
  <w:style w:type="paragraph" w:customStyle="1" w:styleId="Prembulo">
    <w:name w:val="Preâmbulo"/>
    <w:basedOn w:val="Normal"/>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rPr>
      <w:rFonts w:ascii="Arial" w:eastAsia="Arial" w:hAnsi="Arial" w:cs="Arial"/>
      <w:bCs/>
      <w:lang w:eastAsia="pt-BR"/>
    </w:rPr>
  </w:style>
  <w:style w:type="character" w:customStyle="1" w:styleId="RodapChar1">
    <w:name w:val="Rodapé Char1"/>
    <w:basedOn w:val="Fontepargpadro"/>
    <w:link w:val="Rodap"/>
    <w:uiPriority w:val="99"/>
    <w:qFormat/>
    <w:rsid w:val="0042691E"/>
    <w:rPr>
      <w:rFonts w:ascii="Ecofont_Spranq_eco_Sans" w:hAnsi="Ecofont_Spranq_eco_Sans" w:cs="Tahoma"/>
      <w:sz w:val="24"/>
      <w:szCs w:val="24"/>
      <w:lang w:eastAsia="pt-BR"/>
    </w:rPr>
  </w:style>
  <w:style w:type="paragraph" w:customStyle="1" w:styleId="TableContents">
    <w:name w:val="Table Contents"/>
    <w:basedOn w:val="Standard"/>
    <w:pPr>
      <w:widowControl w:val="0"/>
      <w:suppressLineNumbers/>
      <w:textAlignment w:val="baseline"/>
    </w:pPr>
    <w:rPr>
      <w:rFonts w:ascii="Times New Roman" w:eastAsia="SimSun" w:hAnsi="Times New Roman" w:cs="Tahoma"/>
    </w:rPr>
  </w:style>
  <w:style w:type="paragraph" w:customStyle="1" w:styleId="EPTabela">
    <w:name w:val="EP Tabela"/>
    <w:basedOn w:val="Normal"/>
    <w:pPr>
      <w:widowControl w:val="0"/>
      <w:jc w:val="center"/>
      <w:textAlignment w:val="baseline"/>
    </w:pPr>
    <w:rPr>
      <w:rFonts w:ascii="Times New Roman" w:eastAsia="SimSun" w:hAnsi="Times New Roman" w:cs="Arial"/>
      <w:b/>
      <w:kern w:val="3"/>
      <w:sz w:val="22"/>
      <w:lang w:eastAsia="ar-SA" w:bidi="hi-IN"/>
    </w:rPr>
  </w:style>
  <w:style w:type="paragraph" w:customStyle="1" w:styleId="EPConteudotabela">
    <w:name w:val="EP Conteudotabela"/>
    <w:basedOn w:val="Normal"/>
    <w:pPr>
      <w:widowControl w:val="0"/>
      <w:tabs>
        <w:tab w:val="left" w:pos="18"/>
      </w:tabs>
      <w:spacing w:line="100" w:lineRule="atLeast"/>
      <w:ind w:left="23" w:firstLine="45"/>
      <w:textAlignment w:val="baseline"/>
    </w:pPr>
    <w:rPr>
      <w:rFonts w:ascii="Times New Roman" w:eastAsia="SimSun" w:hAnsi="Times New Roman" w:cs="Arial"/>
      <w:kern w:val="3"/>
      <w:lang w:eastAsia="ar-SA" w:bidi="hi-IN"/>
    </w:rPr>
  </w:style>
  <w:style w:type="paragraph" w:styleId="Sumrio1">
    <w:name w:val="toc 1"/>
    <w:basedOn w:val="Normal"/>
    <w:next w:val="Normal"/>
    <w:autoRedefine/>
    <w:pPr>
      <w:widowControl w:val="0"/>
      <w:spacing w:after="100"/>
      <w:textAlignment w:val="baseline"/>
    </w:pPr>
    <w:rPr>
      <w:rFonts w:ascii="Times New Roman" w:eastAsia="SimSun" w:hAnsi="Times New Roman" w:cs="Mangal"/>
      <w:kern w:val="3"/>
      <w:szCs w:val="21"/>
      <w:lang w:eastAsia="hi-IN" w:bidi="hi-IN"/>
    </w:rPr>
  </w:style>
  <w:style w:type="paragraph" w:styleId="Sumrio2">
    <w:name w:val="toc 2"/>
    <w:basedOn w:val="Normal"/>
    <w:next w:val="Normal"/>
    <w:autoRedefine/>
    <w:pPr>
      <w:widowControl w:val="0"/>
      <w:spacing w:after="100"/>
      <w:ind w:left="240"/>
      <w:textAlignment w:val="baseline"/>
    </w:pPr>
    <w:rPr>
      <w:rFonts w:ascii="Times New Roman" w:eastAsia="SimSun" w:hAnsi="Times New Roman" w:cs="Mangal"/>
      <w:kern w:val="3"/>
      <w:szCs w:val="21"/>
      <w:lang w:eastAsia="hi-IN" w:bidi="hi-IN"/>
    </w:rPr>
  </w:style>
  <w:style w:type="numbering" w:customStyle="1" w:styleId="Estilo1">
    <w:name w:val="Estilo1"/>
    <w:basedOn w:val="Semlista"/>
  </w:style>
  <w:style w:type="numbering" w:customStyle="1" w:styleId="Estilo2">
    <w:name w:val="Estilo2"/>
    <w:basedOn w:val="Semlista"/>
  </w:style>
  <w:style w:type="numbering" w:customStyle="1" w:styleId="Estilo3">
    <w:name w:val="Estilo3"/>
    <w:basedOn w:val="Semlista"/>
  </w:style>
  <w:style w:type="numbering" w:customStyle="1" w:styleId="Estilo4">
    <w:name w:val="Estilo4"/>
    <w:basedOn w:val="Semlista"/>
  </w:style>
  <w:style w:type="numbering" w:customStyle="1" w:styleId="Estilo5">
    <w:name w:val="Estilo5"/>
    <w:basedOn w:val="Semlista"/>
  </w:style>
  <w:style w:type="numbering" w:customStyle="1" w:styleId="Estilo6">
    <w:name w:val="Estilo6"/>
    <w:basedOn w:val="Semlista"/>
  </w:style>
  <w:style w:type="numbering" w:customStyle="1" w:styleId="LFO1">
    <w:name w:val="LFO1"/>
    <w:basedOn w:val="Semlista"/>
  </w:style>
  <w:style w:type="numbering" w:customStyle="1" w:styleId="LFO2">
    <w:name w:val="LFO2"/>
    <w:basedOn w:val="Semlista"/>
  </w:style>
  <w:style w:type="character" w:customStyle="1" w:styleId="cf01">
    <w:name w:val="cf01"/>
    <w:basedOn w:val="Fontepargpadro"/>
    <w:rsid w:val="007541C6"/>
    <w:rPr>
      <w:rFonts w:ascii="Segoe UI" w:hAnsi="Segoe UI" w:cs="Segoe UI" w:hint="default"/>
      <w:b/>
      <w:bCs/>
      <w:i/>
      <w:iCs/>
      <w:sz w:val="18"/>
      <w:szCs w:val="18"/>
    </w:rPr>
  </w:style>
  <w:style w:type="numbering" w:customStyle="1" w:styleId="WW8Num1">
    <w:name w:val="WW8Num1"/>
    <w:basedOn w:val="Semlista"/>
    <w:rsid w:val="00DD52D7"/>
  </w:style>
  <w:style w:type="paragraph" w:customStyle="1" w:styleId="tabelatextocentralizado">
    <w:name w:val="tabela_texto_centralizado"/>
    <w:basedOn w:val="Normal"/>
    <w:uiPriority w:val="99"/>
    <w:semiHidden/>
    <w:rsid w:val="00AE6B42"/>
    <w:pPr>
      <w:suppressAutoHyphens w:val="0"/>
    </w:pPr>
    <w:rPr>
      <w:rFonts w:ascii="Calibri" w:eastAsiaTheme="minorHAnsi" w:hAnsi="Calibri" w:cs="Calibri"/>
      <w:sz w:val="22"/>
      <w:szCs w:val="22"/>
    </w:rPr>
  </w:style>
  <w:style w:type="paragraph" w:customStyle="1" w:styleId="contentpasted0">
    <w:name w:val="contentpasted0"/>
    <w:basedOn w:val="Normal"/>
    <w:uiPriority w:val="99"/>
    <w:semiHidden/>
    <w:rsid w:val="00AE6B42"/>
    <w:pPr>
      <w:suppressAutoHyphens w:val="0"/>
    </w:pPr>
    <w:rPr>
      <w:rFonts w:ascii="Calibri" w:eastAsiaTheme="minorHAnsi" w:hAnsi="Calibri" w:cs="Calibri"/>
      <w:sz w:val="22"/>
      <w:szCs w:val="22"/>
    </w:rPr>
  </w:style>
  <w:style w:type="character" w:customStyle="1" w:styleId="contentpasted01">
    <w:name w:val="contentpasted01"/>
    <w:basedOn w:val="Fontepargpadro"/>
    <w:rsid w:val="00AE6B42"/>
  </w:style>
  <w:style w:type="table" w:styleId="Tabelacomgrade">
    <w:name w:val="Table Grid"/>
    <w:basedOn w:val="Tabelanormal"/>
    <w:uiPriority w:val="39"/>
    <w:rsid w:val="00ED3A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decomentrioChar1">
    <w:name w:val="Texto de comentário Char1"/>
    <w:basedOn w:val="Fontepargpadro"/>
    <w:link w:val="Textodecomentrio"/>
    <w:uiPriority w:val="99"/>
    <w:qFormat/>
    <w:rsid w:val="008920E4"/>
    <w:rPr>
      <w:rFonts w:ascii="Ecofont_Spranq_eco_Sans" w:hAnsi="Ecofont_Spranq_eco_Sans" w:cs="Tahoma"/>
      <w:lang w:eastAsia="pt-BR"/>
    </w:rPr>
  </w:style>
  <w:style w:type="character" w:customStyle="1" w:styleId="Mentionnonrsolue1">
    <w:name w:val="Mention non résolue1"/>
    <w:basedOn w:val="Fontepargpadro"/>
    <w:rsid w:val="00B92BD6"/>
    <w:rPr>
      <w:color w:val="605E5C"/>
      <w:shd w:val="clear" w:color="auto" w:fill="E1DFDD"/>
    </w:rPr>
  </w:style>
  <w:style w:type="character" w:customStyle="1" w:styleId="Mention1">
    <w:name w:val="Mention1"/>
    <w:basedOn w:val="Fontepargpadro"/>
    <w:uiPriority w:val="99"/>
    <w:unhideWhenUsed/>
    <w:rsid w:val="00B92BD6"/>
    <w:rPr>
      <w:color w:val="2B579A"/>
      <w:shd w:val="clear" w:color="auto" w:fill="E1DFDD"/>
    </w:rPr>
  </w:style>
  <w:style w:type="paragraph" w:customStyle="1" w:styleId="Nvel1-SemNum0">
    <w:name w:val="Nível 1-SemNum"/>
    <w:basedOn w:val="Nvel1-SemNum"/>
    <w:link w:val="Nvel1-SemNumChar0"/>
    <w:qFormat/>
    <w:rsid w:val="00D065BA"/>
    <w:rPr>
      <w:color w:val="auto"/>
    </w:rPr>
  </w:style>
  <w:style w:type="paragraph" w:customStyle="1" w:styleId="Nvel4-Red">
    <w:name w:val="Nível 4-Red"/>
    <w:basedOn w:val="Nivel4"/>
    <w:link w:val="Nvel4-RedChar"/>
    <w:autoRedefine/>
    <w:qFormat/>
    <w:rsid w:val="00DD4DC0"/>
    <w:rPr>
      <w:i/>
      <w:color w:val="FF0000"/>
      <w:lang w:eastAsia="en-US"/>
    </w:rPr>
  </w:style>
  <w:style w:type="character" w:customStyle="1" w:styleId="Ttulo1Char1">
    <w:name w:val="Título 1 Char1"/>
    <w:basedOn w:val="Fontepargpadro"/>
    <w:link w:val="Ttulo1"/>
    <w:uiPriority w:val="9"/>
    <w:rsid w:val="00D065BA"/>
    <w:rPr>
      <w:rFonts w:ascii="Calibri" w:eastAsia="MS Gothic" w:hAnsi="Calibri"/>
      <w:b/>
      <w:bCs/>
      <w:color w:val="365F91"/>
      <w:sz w:val="28"/>
      <w:szCs w:val="28"/>
      <w:lang w:eastAsia="pt-BR"/>
    </w:rPr>
  </w:style>
  <w:style w:type="character" w:customStyle="1" w:styleId="Nivel01Char1">
    <w:name w:val="Nivel 01 Char1"/>
    <w:basedOn w:val="Ttulo1Char1"/>
    <w:link w:val="Nivel01"/>
    <w:rsid w:val="00F237C4"/>
    <w:rPr>
      <w:rFonts w:ascii="Arial" w:eastAsia="MS Gothic" w:hAnsi="Arial" w:cs="Arial"/>
      <w:b/>
      <w:bCs/>
      <w:color w:val="365F91"/>
      <w:sz w:val="28"/>
      <w:szCs w:val="28"/>
      <w:lang w:eastAsia="pt-BR"/>
    </w:rPr>
  </w:style>
  <w:style w:type="character" w:customStyle="1" w:styleId="Nvel1-SemNumChar1">
    <w:name w:val="Nível 1-Sem Num Char1"/>
    <w:basedOn w:val="Nivel01Char1"/>
    <w:link w:val="Nvel1-SemNum"/>
    <w:rsid w:val="00D065BA"/>
    <w:rPr>
      <w:rFonts w:ascii="Arial" w:eastAsia="MS Gothic" w:hAnsi="Arial" w:cs="Arial"/>
      <w:b/>
      <w:bCs/>
      <w:color w:val="FF0000"/>
      <w:sz w:val="28"/>
      <w:szCs w:val="28"/>
      <w:lang w:eastAsia="pt-BR"/>
    </w:rPr>
  </w:style>
  <w:style w:type="character" w:customStyle="1" w:styleId="Nvel1-SemNumChar0">
    <w:name w:val="Nível 1-SemNum Char"/>
    <w:basedOn w:val="Nvel1-SemNumChar1"/>
    <w:link w:val="Nvel1-SemNum0"/>
    <w:rsid w:val="00D065BA"/>
    <w:rPr>
      <w:rFonts w:ascii="Arial" w:eastAsia="MS Gothic" w:hAnsi="Arial" w:cs="Arial"/>
      <w:b/>
      <w:bCs/>
      <w:color w:val="FF0000"/>
      <w:sz w:val="28"/>
      <w:szCs w:val="28"/>
      <w:lang w:eastAsia="pt-BR"/>
    </w:rPr>
  </w:style>
  <w:style w:type="character" w:customStyle="1" w:styleId="Nivel3Char1">
    <w:name w:val="Nivel 3 Char1"/>
    <w:basedOn w:val="Fontepargpadro"/>
    <w:link w:val="Nivel3"/>
    <w:rsid w:val="00F237C4"/>
    <w:rPr>
      <w:rFonts w:ascii="Arial" w:hAnsi="Arial" w:cs="Arial"/>
      <w:color w:val="000000"/>
      <w:lang w:eastAsia="pt-BR"/>
    </w:rPr>
  </w:style>
  <w:style w:type="character" w:customStyle="1" w:styleId="Nivel4Char1">
    <w:name w:val="Nivel 4 Char1"/>
    <w:basedOn w:val="Nivel3Char1"/>
    <w:link w:val="Nivel4"/>
    <w:rsid w:val="00F237C4"/>
    <w:rPr>
      <w:rFonts w:ascii="Arial" w:hAnsi="Arial" w:cs="Arial"/>
      <w:color w:val="000000"/>
      <w:lang w:eastAsia="pt-BR"/>
    </w:rPr>
  </w:style>
  <w:style w:type="character" w:customStyle="1" w:styleId="Nvel4-RedChar">
    <w:name w:val="Nível 4-Red Char"/>
    <w:basedOn w:val="Nivel4Char1"/>
    <w:link w:val="Nvel4-Red"/>
    <w:rsid w:val="00DD4DC0"/>
    <w:rPr>
      <w:rFonts w:ascii="Arial" w:hAnsi="Arial" w:cs="Arial"/>
      <w:i/>
      <w:color w:val="FF0000"/>
      <w:lang w:eastAsia="pt-BR"/>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0" w:type="dxa"/>
        <w:bottom w:w="0" w:type="dxa"/>
        <w:right w:w="10" w:type="dxa"/>
      </w:tblCellMar>
    </w:tblPr>
  </w:style>
  <w:style w:type="table" w:customStyle="1" w:styleId="a0">
    <w:basedOn w:val="TableNormal"/>
    <w:tblPr>
      <w:tblStyleRowBandSize w:val="1"/>
      <w:tblStyleColBandSize w:val="1"/>
      <w:tblCellMar>
        <w:top w:w="0" w:type="dxa"/>
        <w:left w:w="10" w:type="dxa"/>
        <w:bottom w:w="0" w:type="dxa"/>
        <w:right w:w="10" w:type="dxa"/>
      </w:tblCellMar>
    </w:tblPr>
  </w:style>
  <w:style w:type="table" w:customStyle="1" w:styleId="a1">
    <w:basedOn w:val="TableNormal"/>
    <w:tblPr>
      <w:tblStyleRowBandSize w:val="1"/>
      <w:tblStyleColBandSize w:val="1"/>
      <w:tblCellMar>
        <w:top w:w="0" w:type="dxa"/>
        <w:left w:w="10" w:type="dxa"/>
        <w:bottom w:w="0" w:type="dxa"/>
        <w:right w:w="10" w:type="dxa"/>
      </w:tblCellMar>
    </w:tblPr>
  </w:style>
  <w:style w:type="table" w:customStyle="1" w:styleId="a2">
    <w:basedOn w:val="TableNormal"/>
    <w:tblPr>
      <w:tblStyleRowBandSize w:val="1"/>
      <w:tblStyleColBandSize w:val="1"/>
      <w:tblCellMar>
        <w:top w:w="0" w:type="dxa"/>
        <w:left w:w="10" w:type="dxa"/>
        <w:bottom w:w="0" w:type="dxa"/>
        <w:right w:w="10" w:type="dxa"/>
      </w:tblCellMar>
    </w:tblPr>
  </w:style>
  <w:style w:type="table" w:customStyle="1" w:styleId="a3">
    <w:basedOn w:val="TableNormal"/>
    <w:tblPr>
      <w:tblStyleRowBandSize w:val="1"/>
      <w:tblStyleColBandSize w:val="1"/>
      <w:tblCellMar>
        <w:top w:w="0" w:type="dxa"/>
        <w:left w:w="10" w:type="dxa"/>
        <w:bottom w:w="0" w:type="dxa"/>
        <w:right w:w="10" w:type="dxa"/>
      </w:tblCellMar>
    </w:tblPr>
  </w:style>
  <w:style w:type="table" w:customStyle="1" w:styleId="a4">
    <w:basedOn w:val="TableNormal"/>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2/Decreto/D11246.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www.planalto.gov.br/ccivil_03/_ato2019-2022/2022/decreto/D11246.htm" TargetMode="External"/><Relationship Id="rId39" Type="http://schemas.openxmlformats.org/officeDocument/2006/relationships/hyperlink" Target="https://www.gov.br/empresas-e-negocios/pt-br/empreendedor" TargetMode="External"/><Relationship Id="rId21" Type="http://schemas.openxmlformats.org/officeDocument/2006/relationships/hyperlink" Target="https://www.planalto.gov.br/ccivil_03/_ato2019-2022/2022/Decreto/D11246.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leis/l5764.htm" TargetMode="External"/><Relationship Id="rId47"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_ato2019-2022/2022/Decreto/D11246.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9-2022/2022/Decreto/D11246.htm" TargetMode="External"/><Relationship Id="rId32" Type="http://schemas.openxmlformats.org/officeDocument/2006/relationships/hyperlink" Target="https://in.gov.br/en/web/dou/-/instrucao-normativa-seges/me-n-77-de-4-de-novembro-de-2022-441681061" TargetMode="External"/><Relationship Id="rId37" Type="http://schemas.openxmlformats.org/officeDocument/2006/relationships/hyperlink" Target="https://www.planalto.gov.br/ccivil_03/leis/:~:text=LEI%20N%C2%BA%208.429%2C%20DE%202%20DE%20JUNHO%20DE%201992&amp;text=Disp%C3%B5e%20sobre%20as%20san%C3%A7%C3%B5es%20aplic%C3" TargetMode="External"/><Relationship Id="rId40" Type="http://schemas.openxmlformats.org/officeDocument/2006/relationships/hyperlink" Target="https://www.gov.br/economia/pt-br/assuntos/drei/legislacao/arquivos/legislacoes-federais/indrei772020.pdf" TargetMode="External"/><Relationship Id="rId45" Type="http://schemas.openxmlformats.org/officeDocument/2006/relationships/hyperlink" Target="https://www.planalto.gov.br/ccivil_03/leis/l5764.htm" TargetMode="External"/><Relationship Id="rId5" Type="http://schemas.openxmlformats.org/officeDocument/2006/relationships/webSettings" Target="webSettings.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s://www.planalto.gov.br/ccivil_03/_ato2019-2022/2022/Decreto/D11246.htm" TargetMode="External"/><Relationship Id="rId28" Type="http://schemas.openxmlformats.org/officeDocument/2006/relationships/hyperlink" Target="http://www.planalto.gov.br/ccivil_03/_ato2019-2022/2022/decreto/D11246.htm" TargetMode="External"/><Relationship Id="rId36" Type="http://schemas.openxmlformats.org/officeDocument/2006/relationships/hyperlink" Target="https://www.gov.br/compras/pt-br/acesso-a-informacao/legislacao/instrucoes-normativas/instrucao-normativa-no-53-de-8-de-julho-de-2020" TargetMode="External"/><Relationship Id="rId49" Type="http://schemas.openxmlformats.org/officeDocument/2006/relationships/theme" Target="theme/theme1.xml"/><Relationship Id="rId10" Type="http://schemas.openxmlformats.org/officeDocument/2006/relationships/hyperlink" Target="https://www.planalto.gov.br/ccivil_03/leis/l8078compilado.htm" TargetMode="Externa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5764.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9-2022/2022/Decreto/D11246.htm" TargetMode="External"/><Relationship Id="rId22" Type="http://schemas.openxmlformats.org/officeDocument/2006/relationships/hyperlink" Target="https://www.planalto.gov.br/ccivil_03/_ato2019-2022/2022/Decreto/D11246.htm" TargetMode="External"/><Relationship Id="rId27" Type="http://schemas.openxmlformats.org/officeDocument/2006/relationships/hyperlink" Target="http://www.planalto.gov.br/ccivil_03/_ato2019-2022/2022/decreto/D11246.htm" TargetMode="External"/><Relationship Id="rId30" Type="http://schemas.openxmlformats.org/officeDocument/2006/relationships/hyperlink" Target="http://www.planalto.gov.br/ccivil_03/_ato2019-2022/2022/decreto/D11246.htm" TargetMode="External"/><Relationship Id="rId35" Type="http://schemas.openxmlformats.org/officeDocument/2006/relationships/hyperlink" Target="https://in.gov.br/en/web/dou/-/instrucao-normativa-seges/me-n-77-de-4-de-novembro-de-2022-441681061" TargetMode="External"/><Relationship Id="rId43" Type="http://schemas.openxmlformats.org/officeDocument/2006/relationships/hyperlink" Target="https://www.planalto.gov.br/ccivil_03/leis/l5764.htm" TargetMode="External"/><Relationship Id="rId48" Type="http://schemas.openxmlformats.org/officeDocument/2006/relationships/fontTable" Target="fontTable.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AGU/Pareceres/2019-2022/PRC-JL-01-2020.htm" TargetMode="External"/><Relationship Id="rId46" Type="http://schemas.openxmlformats.org/officeDocument/2006/relationships/header" Target="header1.xml"/><Relationship Id="rId20" Type="http://schemas.openxmlformats.org/officeDocument/2006/relationships/hyperlink" Target="https://www.planalto.gov.br/ccivil_03/_ato2019-2022/2022/Decreto/D11246.htm" TargetMode="External"/><Relationship Id="rId41"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jKrGjUjxmERHCQjqzvZXNWYj7Q==">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20</Pages>
  <Words>8580</Words>
  <Characters>46332</Characters>
  <Application>Microsoft Office Word</Application>
  <DocSecurity>0</DocSecurity>
  <Lines>386</Lines>
  <Paragraphs>109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Manoel Paz</dc:creator>
  <cp:lastModifiedBy>Andre marek</cp:lastModifiedBy>
  <cp:revision>3</cp:revision>
  <cp:lastPrinted>2024-08-28T17:49:00Z</cp:lastPrinted>
  <dcterms:created xsi:type="dcterms:W3CDTF">2023-05-22T17:49:00Z</dcterms:created>
  <dcterms:modified xsi:type="dcterms:W3CDTF">2024-08-28T18:18:00Z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0x01010044D83F27D3C7C244B4B0353FCEF2D32D</vt:lpwstr>
  </property>
  <property fmtid="{D5CDD505-2E9C-101B-9397-08002B2CF9AE}" pid="3" name="MediaServiceImageTags">
    <vt:lpwstr>MediaServiceImageTags</vt:lpwstr>
  </property>
</Properties>
</file>